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ATO DE TERCEIRO</w:t>
      </w:r>
    </w:p>
    <w:p/>
    <w:p/>
    <w:p>
      <w:r>
        <w:t xml:space="preserve">INTERRUPÇÃO DE FAIXA DE ROLAMENTO SEM A DEVIDA SINALIZAÇÃO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Os danos foram comprovados, quando o autor, conduzindo seu veículo pela via pública, por trecho em obra e mal iluminado, dia 23-8-1984, por volta das 23 horas, noite chuvosa, colidiu contra um monte de entulho, pedaços de asfalto e terra. - A culpa, na perquirição processual, foi atribuída à suplicada, Administração Municipal, com inegável acerto, pois foi comprovada pela ocorrência policial e pelas fotos (...), e pelas testemunhas alheias às partes. - Comprovada a culpa, por negligência da Administração Municipal, devida é a indenização pretendida, havendo-se com o costumeiro acerto o MM. Juiz sentenciante, apoiado em doutrina e jurisprudência: "O dano causado por obra pública gera para a Administração a mesma responsabilidade objetiva estabelecida para os serviços públicos, porque embora a obra seja um fato administrativo, deriva sempre de um ato administrativo de quem ordena a sua execução. Mesmo que a obra pública seja confiada a empreiteiros particulares, a responsabilidade pelos danos oriundos do só fato da obra é sempre do Poder Público que determinou a sua realização" (HELY LOPES MEIRELLES, in "Direito Administrativo Brasileiro", 14ª ed., SP, Editora RT, 1989; pág. 556). Ac. de 21-12-1989 Jurisprudência Mineira - Janeiro a Março de 1990 - Vol. 109 - Pág. 179 EMFOR 513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danos causados por obra pública geram para a Municipalidade a obrigação de indenizar, quando comprovado ter havido falta de sinalização por negligência, em vias com diversas faixas de rolamento, subitamente interrompidas e estreitadas por obras municipais.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2026-09-11T00:26:22.384Z</dcterms:created>
  <dcterms:modified xsi:type="dcterms:W3CDTF">2026-09-11T00:26:22.384Z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