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/>
    <w:p>
      <w:r>
        <w:t xml:space="preserve">QUEDA SOBRE VEÍCULO — DANOS CONSEQÜENTES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pessoa jurídica responde sempre pelos prejuízos, bastando que se estabeleça o nexo de causalidade entre o ato da Administração e o dano sofrido, restando provado, nos autos, que a ré (Prefeitura) fora avisada para os riscos da queda da árvore, tendo comparecido ao local e realizado apenas a poda de seus galhos, recusando-se, entretanto, a cortar a árvore, sob a alegação de que tal procedimento era "muito burocrático". - Disse bem o ilustre Prolator da decisão que "aceito como provado que a queda da árvore se deu em razão da faute du service, caracterizada pela omissão da Administração em cortar a árvore, embora alertada para o risco iminente, inegável a responsabilidade civil da Municipalidade." Ac. de 12-03-1991 Jurisprudência Mineira - Jan. a Mar. de 1991 - Vol. 113 - Pág. 216.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sempre a pessoa jurídica pelos prejuízos causados em decorrência de omissão da Administração em cortar árvore, cuja queda, ocasionou danos em veículo estacionado, embora tenha sido alertada para o risco iminente, sendo portanto, inegável a responsabilidade civil da Municipalidade quanto os evento que se deu em razão de faute du service e burocracia excessiva.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2026-10-26T02:07:46.087Z</dcterms:created>
  <dcterms:modified xsi:type="dcterms:W3CDTF">2026-10-26T02:07:46.087Z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