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ART. 32 DA LEI 8.212/91 — REGULAMENTA</w:t>
      </w:r>
    </w:p>
    <w:p/>
    <w:p>
      <w:pPr>
        <w:pStyle w:val="Heading2"/>
      </w:pPr>
      <w:r>
        <w:rPr>
          <w:b/>
          <w:bCs/>
        </w:rPr>
        <w:t xml:space="preserve">Ementa</w:t>
      </w:r>
    </w:p>
    <w:p>
      <w:r>
        <w:t xml:space="preserve">DECRETO Nº 2 803, DE 20 DE OUTUBRO DE 1998 Regulamenta o art. 32 da Lei nº 8.212, de 24 de julho de 1991, com redação dada pelo Lei nº 9.528, de 10 de dezembro de 1997. O Presidente da República, no uso da atribuição que lhe confere o art. 84, inciso IV, da Constituição, e de acordo com o art. 32, inciso IV e parágrafos, da Lei n° 8.212, de 24 de julho de 1991, com a redação dada pela Lei n° 9.528, de 10 de dezembro de 1997, Decreta: Art. 1° A empresa é obrigada a informar mensalmente ao Instituto Nacional do Seguro Social - INSS, por intermédio da Guia de Recolhimento ao Fundo de Garantia do Tempo de Serviço e Informações à Previdência Social - GFIP, na forma por ele estabelecida, dados cadastrais, todos os fatos geradores de contribuição previdenciária e outras informações de interesse daquele Instituto. § 1° Na requisição de mão-de-obra de trabalhador avulso em conformidade com a Lei n° 8.630, de 25 de fevereiro de 1993, o órgão gestor de mão-de-obra é o responsável pelo preenchimento e entrega da GFIP. § 2° A empresa tomadora ou requisitante dos serviços de trabalhador avulso, cuja contratação de pessoal não for abrangida pela Lei n° 8.630, de 1993, é a responsável pelo preenchimento e entrega da GFIP em relação aos segurados que lhe prestem serviços, observadas as normas fixadas pelo INSS. § 3° As informações prestadas na GFIP servirão como base de cálculo das contribuições arrecadadas pelo INSS, comporão a base de dados para fins de cálculo e concessão dos benefícios previdenciários, bem como constituir-se-ão em termo de confissão de dívida, na hipótese do não recolhimento. § 4° Os valores das contribuições incluídos na GFIP, não recolhidos ou não parcelados, serão inscritos na Dívida Ativa do INSS, dispensando-se o processo administrativo de natureza contenciosa. § 5° A entrega da GFIP deverá ser efetuada em meio magnético, conforme estabelecido pelo Ministério da Previdência e Assistência Social, ou mediante formulário, na rede bancária, até o dia sete do mês seguinte àquele a que se referem as informações. § 6° A GFIP será exigida relativamente a fatos geradores ocorridos a partir de janeiro de 1 999. § 7° O preenchimento e as informações prestadas e a entrega da GFIP são de inteira responsabilidade da empresa. § 8° O INSS e a Caixa Econômica Federal estabelecerão normas para disciplinar a entrega da GFIP, nos casos de rescisão contratual. § 9° Independentemente das disposições do art. 85 do Regulamento da Organização e do Custeio da Seguridade Social - ROCSS, aprovado pelo Decreto n° 2.173, de 5 de março de 1997, o descumprimento do disposto neste artigo é condição impeditiva para expedição do documento comprobatório de inexistência de débito. Art. 2° A infração ao disposto no artigo anterior sujeitará o responsável às seguintes penalidades administrativas: I - valor equivalente a um multiplicador sobre o valor mínimo previsto no art. 106 do ROCSS, em função do número de segurados, pela não apresentação da GFIP, independentemente do recolhimento da contribuição, conforme quadro abaixo: 0 a 5 segurados 1/2 valor mínimo 6 a 15 segurados 1 x o valor mínimo 16 a 50 segurados 2 x o valor mínimo 51 a 100 segurados 5 x o valor mínimo 101 a 500 segurados 10 x o valor mínimo 501 a 1000 segurados 20 x o valor mínimo 1001 a 5000 segurados 35 x o valor mínimo acima de 5000 segurados 50 x o valor mínimo II - cem por cento do valor devido relativo a contribuição não declarada, limitada aos valores previstos no inciso anterior, pela apresentação da GFIP com dados não correspondentes aos fatos geradores; III - cinco por cento do valor mínimo previsto no art 106 do ROCSS. por campo com informações inexatas, incompletas ou omissas, limitada aos valores previstos no inciso I, pela apresentação da GFIP com erro de preenchimento nos dados não relacionados aos fatos geradores. § 1° A multa de que trata o inciso I, a partir do mês seguinte àquele em que o documento deveria ter sido entregue, sofrerá acréscimo de cinco por cento por mês calendário ou fração. § 2° O valor mínimo a que se refere o inciso I será o vigente na data da lavratura do auto-de-infração. Art. 3° Para efeito do disposto no art. 33 do ROCSS, a pessoa jurídica apresentará, ainda, os recibos de entrega da GFIP. Art. 4° Para efeito do disposto nos arts. 42 e 43 do ROCSS, observar-se-á, ainda: I - o cedente de mão-de-obra deverá elaborar GFIP específica para cada empresa tomadora de serviço, devendo esta exigir do cedente de mão-de-obra, quando da quitação da nota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2026-07-28T04:15:32.492Z</dcterms:created>
  <dcterms:modified xsi:type="dcterms:W3CDTF">2026-07-28T04:15:32.492Z</dcterms:modified>
</cp:coreProperties>
</file>

<file path=docProps/custom.xml><?xml version="1.0" encoding="utf-8"?>
<Properties xmlns="http://schemas.openxmlformats.org/officeDocument/2006/custom-properties" xmlns:vt="http://schemas.openxmlformats.org/officeDocument/2006/docPropsVTypes"/>
</file>