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r>
        <w:rPr>
          <w:b/>
          <w:bCs/>
        </w:rPr>
        <w:t xml:space="preserve">Recurso: </w:t>
      </w:r>
      <w:r>
        <w:t xml:space="preserve">re 13</w:t>
      </w:r>
    </w:p>
    <w:p>
      <w:r>
        <w:rPr>
          <w:b/>
          <w:bCs/>
        </w:rPr>
        <w:t xml:space="preserve">Tribunal: </w:t>
      </w:r>
      <w:r>
        <w:t xml:space="preserve">STF</w:t>
      </w:r>
    </w:p>
    <w:p/>
    <w:p>
      <w:r>
        <w:t xml:space="preserve">02. LEIS 8.212/91 E 8.213/91 — DISPOSITIVOS - ALTERA</w:t>
      </w:r>
    </w:p>
    <w:p/>
    <w:p>
      <w:pPr>
        <w:pStyle w:val="Heading2"/>
      </w:pPr>
      <w:r>
        <w:rPr>
          <w:b/>
          <w:bCs/>
        </w:rPr>
        <w:t xml:space="preserve">Ementa</w:t>
      </w:r>
    </w:p>
    <w:p>
      <w:r>
        <w:t xml:space="preserve">Art. 2° Ficam restabelecidos o § 4° do art. 86 e os arts. 31 e 122, e alterados os arts. 11, 16, 18, 34, 58, 74, 75, 86, 94, 96, 102, 103, 126, 130 e 131 da Lei n° 8.213, de 24 de julho de 1991, com a seguinte redação: "Art. 11. .................................................................... V- .................................................................... a) a pessoa física, proprietária ou não, que explora atividade agropecuária ou pesqueira, em caráter permanente ou temporário, diretamente ou por intermédio de prepostos e com o auxílio de empregados, utilizados a qualquer título, ainda que de forma não contínua; b) pessoa física, proprietária ou não, que explora atividade de extração mineral - garimpo -, em caráter permanente ou temporário, diretamente ou por intermédio de prepostos, com ou sem auxílio de empregados, utilizados a qualquer título, ainda que de forma não contínua; c) o ministro de confissão religiosa e o membro de instituto de vida consagrada e de congregação ou de ordem religiosa, este quando por ela mantido, salvo se filiado obrigatoriamente à Previdência Social em razão de outra atividade, ou a outro sistema previdenciário, militar ou civil, ainda que na condição de inativo; d) o empregado de organismo oficial internacional ou estrangeiro em funcionamento no Brasil, salvo quando coberto por sistema próprio de previdência social; e) o brasileiro civil que trabalha no exterior para organismo oficial internacional do qual o Brasil é membro efetivo, ainda que lá domiciliado e contratado, salvo quando coberto por sistema de previdência social do país do domicílio. .................................................................... § 4° O dirigente sindical mantém, durante o exercício do mandato eletivo, o mesmo enquadramento no Regimento Geral de Previdência Social - RGPS de antes da investidura." "Art. 16. ........................................................ ............ § 2° O enteado e o menor tutelado equiparam-se a filho mediante declaração do segurado e desde que comprovada a dependência econômica na forma estabelecida no Regulamento. .................................................................... "Art. 18. .................................................................... § 2° O aposentado pelo Regime Geral de Previdência - RGPS que permanecer em atividade sujeita a este Regime, ou a ele retornar, não fará jus a prestação alguma da Previdência Social em decorrência do exercício dessa atividade, exceto ao salário-família e à reabilitação profissional, quando empregado." "Art. 31. O valor mensal do auxílio-acidente integra o salário-de-contribuição, para fins de cálculo do salário-de-benefício de qualquer aposentadoria, observado, no que couber, o disposto no art. 29 e no art. 86, § 5°." "Art. 34. .................................................................... II - para o segurado empregado, o trabalhador avulso e o segurado especial, o valor mensal do auxílio-acidente, considerado como salário-de-contribuição para fins de concessão de qualquer aposentadoria, nos termos do art. 31; III - para os demais segurados, os salários-de-contribuição referentes aos meses de contribuições efetivamente recolhidas." "Art. 58. A relação dos agentes nocivos químicos, físicos e biológicos ou associação de agentes prejudiciais à saúde ou à integridade física considerados para fins de concessão da aposentadoria especial de que trata o artigo anterior será definida pelo Poder Executivo. § 1° A comprovação da efetiva exposição do segurado aos agentes nocivos será feita mediante formulário, na forma estabelecida pelo Instituto Nacional do Seguro Social - INSS, emitido pela empresa ou seu preposto, com base em laudo técnico de condições ambientais do trabalho expedido por médico do trabalho ou engenheiro de segurança do trabalh o. § 2° Do laudo técnico referido no parágrafo anterior deverão constar informação sobre a existência de tecnologia de proteção coletiva que diminua a intensidade do agente agressivo a limites de tolerância e recomendação sobre a sua adoção pelo estabelecimento respectivo. § 3° A empresa que não mantiver laudo técnico atualizado com referência aos agentes nocivos existentes no ambiente de trabalho de seus trabalhadores ou que emitir documento de comprovação de efetiva exposição em desacordo com o respectivo laudo estará sujeita à penalidade prevista no art. 133 desta Lei. § 4° A empresa deverá elaborar e manter atualizado perfil profissiográfico abrangendo as ativida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2026-07-28T08:59:11.046Z</dcterms:created>
  <dcterms:modified xsi:type="dcterms:W3CDTF">2026-07-28T08:59:11.046Z</dcterms:modified>
</cp:coreProperties>
</file>

<file path=docProps/custom.xml><?xml version="1.0" encoding="utf-8"?>
<Properties xmlns="http://schemas.openxmlformats.org/officeDocument/2006/custom-properties" xmlns:vt="http://schemas.openxmlformats.org/officeDocument/2006/docPropsVTypes"/>
</file>