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/>
    <w:p>
      <w:r>
        <w:t xml:space="preserve">RISCO NÃO COBERTO — QUANDO NÃO LHE ASSISTE O DIREITO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Os defeitos de que se cuida - fissuras, queda de piso, mal funcionamento do sistema de esgotos, como expostos na petição inicial, não estão cobertos pela apólice de seguro, isto é, a seguradora não assumiu tais riscos (cláusula 3ª , II.2 "Dos riscos cobertos"). A cobertura seguratória abrange somente o incêndio, explosão, desmoronamento parcial, assim entendida a destruição ou desabamento de paredes, vigas ou outro elemento, bem como a ameaça de desmoronamento, o destelhamento e a inundação ou alagamento. - Assim, a seguradora, com respeito aos danos de que se trata, procedendo a sua liquidação, o fez como liberalidade, não tendo o direito de reembolsar-se do valor deles. - O recurso da seguradora é considerado prejudicado. Ac. de 14-08-1986 Jurisprudência Catarinense, Vol. 55 - Págs. 81/82. EMFOR 483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tem a seguradora direito a reembolso das despesas efetuadas com a recuperação do prédio sinistrado, se os vícios ou defeitos da construtora não constituem riscos assumidos pela seguradora, na apólice seguratória. O procedimento da seguradora recuperando o imóvel danificado, sem que tal obrigação lhe correspondesse, há de ser considerado liberalidade.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2026-06-17T16:59:54.599Z</dcterms:created>
  <dcterms:modified xsi:type="dcterms:W3CDTF">2026-06-17T16:59:54.599Z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