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>
      <w:r>
        <w:rPr>
          <w:b/>
          <w:bCs/>
        </w:rPr>
        <w:t xml:space="preserve">Recurso: </w:t>
      </w:r>
      <w:r>
        <w:t xml:space="preserve">Apelação 421104-1</w:t>
      </w:r>
    </w:p>
    <w:p>
      <w:r>
        <w:rPr>
          <w:b/>
          <w:bCs/>
        </w:rPr>
        <w:t xml:space="preserve">Relator: </w:t>
      </w:r>
      <w:r>
        <w:t xml:space="preserve">José Roberto Bedran</w:t>
      </w:r>
    </w:p>
    <w:p/>
    <w:p>
      <w:r>
        <w:t xml:space="preserve">AÇÃO DE RESPONSABILIDADE CIVIL — CONTRA QUEM DEVE SER PROPOSTA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Apelação interposta contra sentença, cujo relatório fica adotado, que, reconhecendo a ilegitimidade passiva da apelação, decretou a carência da Ação Ordinária de Cobrança aforada pelo apelante-autor e que buscava o reembolso de despesas efetuadas para reparo de seu veículo em acidente de trânsito causado pelo veículo segurado pela apelada. Recurso tempestivo, bem processado, respondido e preparado. - Esta a síntese de essencial. - Realmente, sob o prisma eminentemente jurídico, "...a relação nascida do contrato de seguro vincula exclusivamente seguradora e segurado...", pois, "...não existe solidariedade entre seguradora e segurado, de sorte a permitir possa ela responder diretamente ao terceiro em virtude de dano por aquele causado..." ... - Cumpria ao apelante-autor direcionar a sua postulação reparatória contra o segurado da apelada, cabendo a este acionar regressivamente a apelada, nos mesmos autos, com o estabelecimento de uma lide secundária em decorrência da denunciação à lide ou por medida judicial distinta. - Pertinentes e adequados os v. arestos colacionados pela apelada à fl. ..., que ficam adotados como integrantes desta decisão. - Transcrevemos alguns trechos do v. acórdão proferido na Apelação nº 421104-1, São Paulo, j. 28.03.1990, 4ª Câm., Rel. Des. José Roberto Bedran, no mesmo sentido: "...Pela definição legal (artigo 1432 c/c o artigo 1458 do Código Civil), o contrato de seguro se forma entre segurado e segurador, cabendo àquele a obrigação de pagar o prêmio e a este a de indenizá-lo (unicamente ao contratante) dos prejuízos resultantes dos riscos futuros previstos no contrato. A obrigação emergente da apólice securitária vincula apenas e exclusivamente as partes contratantes, não se admitindo ação direta da vítima ou outros lesados contra o segurador. Afinal, pelo seguro,"res inter alios acta" em relação às vítimas de acidente, o segurado contrata em seu próprio benefício e pessoal interesse, objetivando resguardar-se de perdas patrimoniais decorrentes de condenação por perdas e danos contra si eventualmente imposta, por fato de que civilmente responsável. - No caso, fundando-se a pretensão na responsabilidade civil aquiliana, vale dizer, reparação de danos provocados por culpa, em acidente de trânsito, ao prejudicado só era dado postular contra o direto causador do fato e/ou contra quem responsável por seus atos (artigo 159, do CC). - Ao autor, portanto, não cabia reclamar indenização da empresa que contratou seguro facultativo com a proprietária do veículo abalroador..." (sic). - E, ainda, nesse mesmo sentido, Agravo de Instrumento nº 397508-2, Americana, 7ª Câm., j. 18.10.1988, Rel. Juiz Renato Takiguthi. - Do exposto, conhece-se e nega-se provimento ao apelo. Ac. de 01-03-1994 Arquivo do EMFOR, TA/ N 2.044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Reembolso de despesas efetuadas para reparo de veículo em acidente de trânsito. Carência decretada ante a ilegitimidade passiva da seguradora. A postulação reparatória deve ser direcionada contra o segurado, cabendo a este acionar regressivamente a seguradora, através da denunciação à lide ou por medida judicial diversa.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2026-10-26T03:05:35.015Z</dcterms:created>
  <dcterms:modified xsi:type="dcterms:W3CDTF">2026-10-26T03:05:35.015Z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