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Recurso: </w:t>
      </w:r>
      <w:r>
        <w:t xml:space="preserve">MS 5.838</w:t>
      </w:r>
    </w:p>
    <w:p/>
    <w:p>
      <w:r>
        <w:t xml:space="preserve">PEDIDO DE PENSIONAMENTO E ARBITRAMENTO COMO DANOS MORAIS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a procedência da indenizatória (f.), a denunciante foi condenada a pagar à autora valor equivalente a 500 salários mínimos à data em que se cumprisse esse resgate, deduzida, desse importe, a verba do seguro obrigatório, devidamente corrigida, devendo a denunciada compor o desembolso da denunciante até o limite da apólice do seguro. Após rejeitados os embargos de declaração ofertados pela V S C Ltda., esta e a denunciada apelaram. - Para a seguradora ocorreu caso de decisão ultra petita, por implicar condenação em danos morais, não pleiteados com o pedido. Sua responsabilidade não pode extrapassar o limite do contrato, como previsto na apólice. Culpada pelo acidente foi a mãe que descurou da guarda do filho. A inicial não reclamou composição por danos morais, pois o pedido tinha a ver, na realidade, com pensão alimentícia. - A denunciante, com preliminar de nulidade do julgado (prestou-se a jurisdição dissonantemente ao pedido). Pretendia-se pensão mensal, não indenização por danos morais: uma vez prevaleça esta, não pode ultrapassar de 100 salários mínimos, segundo o parâmetro do Código Brasileiro de Comunicações. - Recursos respondidos, o da denunciada preparado. - É a suma do necessário. - Sem dúvida que pedido, em sentido estrito (assegura-o FREDERICO MARQUES), "designa o objeto da ação, ou seja, a formulação do bem jurídico que o autor pretende obter". Na realidade, "o autor deve saber o que pretende. Daí precisar o pedido externar-se de maneira inconfundível, individualizada, medida e bem especificada. Por outro lado, esse pedido não é vago e, sim, pedido certo, porquanto nele se fixa sua extensão e quantidade em relação ao mencionado bem jurídico" (Instituições. Forense, 1962, v. III/38-40). - Se formulado sem a necessária explicitude, o pedido se sujeitaria a interpretação que, como previsto no art. 293 do CPC, tem cunho acentuadamente restritivo; em hipótese contrária (legalmente ininsculpida), estaria o Juiz, a propósito de interpretá-la, "dilatando o próprio âmbito da lide a ser decidida, sem obediência às balizas traçadas pelo autor ao deduzir sua pretensão" (mesma obra e autor, p. 63). - Entretanto, há casos em que, dissentindo da correta interpretação do pedido, o Juiz julga a causa em termos desconsentâneos com o que efetivamente postulado. Ou seja, oferta julgamento extra petita. Precisamente o que ocorreu in casu. Bastante verificar-se que, com sua inicial, a autora pleiteou fosse a ré condenada ao pagamento de indenização por ato ilícito e, porque invocado o art. 602 do CPC, sabia-se relativa a pensionamento (verba alimentícia) por um certo período de tempo (o da sobrevivência do menor, falecido no acidente). Não houve, em momento algum do articulado propedêutico, pedido por danos morais. A provisão jurisdicional, entretanto, afastando-se do que especificado pela autora, condenou a ré (o decreto abrangendo a seguradora, até a força da ajustada apólice de seguro) a compor-lhe danos morais. - Descumpriu-se, pelo juízo da causa, a regra do art. 460 do CPC, donde a nulidade do decisum, certo que "a sentença extra petita é nula porque decide causa diferente da que foi posta em juízo", circunstância em que o Tribunal deve anulá-la (RT 502/169, JTA 37/44 e 48/67, exemplificativamente). - Mas, houvesse erro, equívoco que fosse, na dedução do pedido, possibilidade haveria para a sua emenda ou correção, até a oferta do decisum. Veja-se que, segundo já alertava Pereira e Souza, pode "declarar-se o libelo, e emendar-se qualquer e rro em que labore até sentença definitiva". GUSMÃO, por seu turno, ensinava que "é lícito ao autor, em qualquer fase da causa, até a conclusão dos autos para sentença, emendar a petição inicial ou o libelo, para corrigir algum erro, para explicar algum fato, que necessite de melhores esclarecimentos, ou para bem precisar o sentido de alguma expressão ou frase ambígua". Nesse sentido, colhe-se o ensinamento de LOPES DA COSTA: "A emenda do libelo é permitida a qualquer tempo, até o encerramento dos debates" (apud FREDERICO MARQUES, op. cit., p. 224). Disto se desapercebeu o autor, e olvidou o juízo, que lhe não endereçou semelhante cometimento. - Nessa conformidade, recepciona-se a preliminar constante dos apelos dos insurgentes e decreta-se a nulidade da r. sentença, prejudicado restando o exame das demais questões trazidas com esses recursos. Ac. de 28-01-1997 Revista dos Tribunais - Agosto de 1997 - vol. 742 - pág. 271 EMFOR 575 EMENTA: - Só "há julgamento extra petita quando oco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autor da ação indenizatória pleiteou a verba em forma de pensionamento, conforme o art. 602 do CPC, e o Juiz arbitra a mesma como indenização por danos morais, caracterizado está o julgamento extra petita, anulando-se a decisão, de acordo com o previsto no art. 460 do Estatuto Processual.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2026-10-26T02:05:05.694Z</dcterms:created>
  <dcterms:modified xsi:type="dcterms:W3CDTF">2026-10-26T02:05:05.694Z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