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MS 90.505</w:t>
      </w:r>
    </w:p>
    <w:p>
      <w:r>
        <w:rPr>
          <w:b/>
          <w:bCs/>
        </w:rPr>
        <w:t xml:space="preserve">Relator: </w:t>
      </w:r>
      <w:r>
        <w:t xml:space="preserve">TORREÃO BRAZ</w:t>
      </w:r>
    </w:p>
    <w:p/>
    <w:p>
      <w:r>
        <w:t xml:space="preserve">QUANDO SÓ TEM EFICÁCIA APÓS A PUBLICAÇÃO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Aliás, em boa hora, a autora, ora apelada; trouxe à colação precedentes desta egrégia Corte, que versam sobre a matéria semelhante, que a título de ilustração transcrevo: EMENTA: "Taxa de Organização e Regulamentação do Mercado da Borracha (TORMB) - A Portaria nº 31/78, da Superintendência da Borracha, por isso que não destinada a produzir efeito "interna corporis" apenas, não pode atingir fatos anteriores a data de sua publicação 31-10-78 - Concessão de segurança confirmada". (AMS nº 90.505 - SP (1.252.690), 4ª Turma, Rel.: Min. ARMANDO ROLLEMBERG, jug. em 3-10-84, unânime, DJ de 19-12-64). EMENTA: "Comunicado na CACEP. Sendo ato administrativo de eficácia externa, projetando-se além dos limites do órgão, somente produz efeitos jurídicos, em relação aos destinatários, depois da sua publicação na imprensa oficial. Segurança concedida". (AMS nº 81.339 - SP, 2ª Turma, Relator: Min. TORREÃO BRAZ, julg. em 20-10-78, unânime, DJ de 19-4-79). - Isto posto, nego provimento à apelação, para confirmar a respeitável sentença monocrática, pelos seus jurídicos fundamentos. Ac. de 26-11-1986 Revista do Tribunal Federal de Recursos - Janeiro de 1988 - Vol. 153 - Pág. 161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atos administrativos destinados a produzir efeitos não apenas "interna corporis", só têm eficácia a partir da sua publicação, não podendo atingir fatos anteriores.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2026-10-26T02:32:30.388Z</dcterms:created>
  <dcterms:modified xsi:type="dcterms:W3CDTF">2026-10-26T02:32:30.388Z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