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Julgado em: </w:t>
      </w:r>
      <w:r>
        <w:t xml:space="preserve">26/05/1986</w:t>
      </w:r>
    </w:p>
    <w:p/>
    <w:p>
      <w:r>
        <w:t xml:space="preserve">CONCESSÃO A EX-MARIDO —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separação consensual, impondo ao varão pensionar o único filho do casal, pensão que se reduziu à quantia de Cr$ 100,00 depois que foi despedido do emprego. - Alegando continuar desempregado, ajuizou contra a ex-esposa ação de alimentos, que foram em seu favor arbitrados à taxa de 10% dos ganhos dela, ora impetrante. - Daí o &lt;&lt;mandamus&gt;&gt;, que obteve deferimento liminar. - A autoridade impetrada informa que o marido se declara desempregado há longo tempo e que sua ex-consorte auferia remuneração razoável, que lhe garantia a própria subsistência, mesmo tendo que assumir alimentos ao ex-marido. - Parecer da procuradoria, pela inexistência de ilegalidade ou abuso. - No estreito âmbito da fase probatória do mandado de segurança não será possível esclarecer se o ex-marido efetivamente está a necessitar de pensão da mulher, ou se está a praticar as artimanhas que lhe suspeita o douto parecer da Procuradoria de Justiça. - Isto se esclarecerá na instrução do processo alimentar. - Todavia, nenhuma disposição legal parece assegurar alimentos ao ex-marido que no acordo da separação não foi com isto contemplado. - Alimentos se devem &lt;&lt;jus sanguinis&gt;&gt; ou por motivo de matrimônio. - Na vigência deste, como um dever recíproco de cada cônjuge, e, ordinariamente pelo marido em relação à família, - Dissolvida a sociedade conjugal, quando necessariamente se cogita da atribuição de alimentos para a ex-mulher, com vistas a estatuí-los, ou não isto, quer na separação judicial, que na consensual, não remanesce para o ex-marido, em regra, qualquer prestação alimentar para a ex-esposa. - E anote-se que na separação consensual, dado o caráter transacional desta, quando a separanda desiste de alimentos, são excepcionalmente os poderá reclam ar de futuro. - Ora, se é assim, quanto ao ex-cônjuge marido a que nenhuma disposição textual ampara com o princípio de irrenunciabilidade dos alimentos. - Embora esse encaminhamento de reflexões conduzisse à concessão da ordem, parece mais prudente à ação alimentar, para proporcionar ao douto Juízo impetrado, a par de uma ampla colheita de alegações e provas, a eventual construção de tese jurídica sobre o direito alimentar do ex-marido, separado judicialmente, por acordo que não o beneficiava com compensação. Julgado em 27-05-1986 Arquivo do EMFOR, TJ/1.546 EMFOR 469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Nenhuma disposição legal parece assegurar alimentos ao ex-marido que, no acordo de separação, não foi com isto contemplado.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2026-06-17T14:08:08.127Z</dcterms:created>
  <dcterms:modified xsi:type="dcterms:W3CDTF">2026-06-17T14:08:08.127Z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