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Julgado em: </w:t>
      </w:r>
      <w:r>
        <w:t xml:space="preserve">24/03/1986</w:t>
      </w:r>
    </w:p>
    <w:p/>
    <w:p>
      <w:r>
        <w:t xml:space="preserve">ADESÃO DO OUTRO CÔNJUGE AO PEDIDO — INAPLICABILIDADE DAS REGRAS DA SUCUMBÊNCIA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conversão da separação em divórcio é providencia de jurisdição voluntária, que só eventualmente pode tornar-se contenciosa e justificar a aplicação do art. 20, sobre sucumbência (cf. RT 515/222). - Cuida-se de um processo &lt;&lt;necessário&gt;&gt;, desde que tivesse havido &lt;&lt;resistência&gt;&gt; por parte do ex-cônjuge requerido à pretensão, a instauração de litígio no âmbito desse procedimento &lt;&lt;necessário&gt;&gt; implicaria na sujeição do vencido às regras da sucumbência (cf. YUSSEF CAHALI, Divórcio e Separação pág. 345). - Acontece, porém, que, na espécie, inocorreu &lt;&lt;resistência&gt;&gt; à pretensão do apelado. - E essa &lt;&lt;adesão&gt;&gt; da requerida ao pedido não tem o significado de concordância com eficácia de reconhecimento do pedido, em condições de determinar a aplicação das regras do sucumbimento (cf. RJTJSP 56/187). - Assim, incabível a condenação da apelante nas custas e em honorários de advogado (cf. RT 515/242, 521/242 e 554/231; RF 266/214; RDC 9/327). - Pelo exposto e tendo em vista, ainda, o douto parecer da Procuradoria da Justiça, dão provimento ao recurso. Julgado em 25-03-1986 Revista dos Tribunais. Vol. 611 - Pág. 11 EMFOR 468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adesão da requerida ao pedido de conversão de separação judicial em divórcio não tem o significado de concordância com eficácia de reconhecimento do pedido, em condições de determinar a aplicação das regras do sucumbimento.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2026-06-17T14:07:01.867Z</dcterms:created>
  <dcterms:modified xsi:type="dcterms:W3CDTF">2026-06-17T14:07:01.867Z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