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24/03/1986</w:t>
      </w:r>
    </w:p>
    <w:p/>
    <w:p>
      <w:r>
        <w:t xml:space="preserve">ADESÃO DO OUTRO CÔNJUGE AO PEDIDO — INAPLICABILIDADE DAS REGRAS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conversão da separação em divórcio é providencia de jurisdição voluntária, que só eventualmente pode tornar-se contenciosa e justificar a aplicação do art. 20, sobre sucumbência (cf. RT 515/222). - Cuida-se de um processo &lt;&lt;necessário&gt;&gt;, desde que tivesse havido &lt;&lt;resistência&gt;&gt; por parte do ex-cônjuge requerido à pretensão, a instauração de litígio no âmbito desse procedimento &lt;&lt;necessário&gt;&gt; implicaria na sujeição do vencido às regras da sucumbência (cf. YUSSEF CAHALI, Divórcio e Separação pág. 345). - Acontece, porém, que, na espécie, inocorreu &lt;&lt;resistência&gt;&gt; à pretensão do apelado. - E essa &lt;&lt;adesão&gt;&gt; da requerida ao pedido não tem o significado de concordância com eficácia de reconhecimento do pedido, em condições de determinar a aplicação das regras do sucumbimento (cf. RJTJSP 56/187). - Assim, incabível a condenação da apelante nas custas e em honorários de advogado (cf. RT 515/242, 521/242 e 554/231; RF 266/214; RDC 9/327). - Pelo exposto e tendo em vista, ainda, o douto parecer da Procuradoria da Justiça, dão provimento ao recurso. Julgado em 25-03-1986 Revista dos Tribunais. Vol. 611 - Pág. 11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adesão da requerida ao pedido de conversão de separação judicial em divórcio não tem o significado de concordância com eficácia de reconhecimento do pedido, em condições de determinar a aplicação das regras do sucumbimento.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2026-10-26T03:09:52.297Z</dcterms:created>
  <dcterms:modified xsi:type="dcterms:W3CDTF">2026-10-26T03:09:52.297Z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