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Julgado em: </w:t>
      </w:r>
      <w:r>
        <w:t xml:space="preserve">24/03/1986</w:t>
      </w:r>
    </w:p>
    <w:p/>
    <w:p>
      <w:r>
        <w:t xml:space="preserve">ADESÃO DO OUTRO CÔNJUGE AO PEDIDO — INAPLICABILIDADE DAS REGRAS DA SUCUMBÊNCIA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conversão da separação em divórcio é providencia de jurisdição voluntária, que só eventualmente pode tornar-se contenciosa e justificar a aplicação do art. 20, sobre sucumbência (cf. RT 515/222). - Cuida-se de um processo &lt;&lt;necessário&gt;&gt;, desde que tivesse havido &lt;&lt;resistência&gt;&gt; por parte do ex-cônjuge requerido à pretensão, a instauração de litígio no âmbito desse procedimento &lt;&lt;necessário&gt;&gt; implicaria na sujeição do vencido às regras da sucumbência (cf. YUSSEF CAHALI, Divórcio e Separação pág. 345). - Acontece, porém, que, na espécie, inocorreu &lt;&lt;resistência&gt;&gt; à pretensão do apelado. - E essa &lt;&lt;adesão&gt;&gt; da requerida ao pedido não tem o significado de concordância com eficácia de reconhecimento do pedido, em condições de determinar a aplicação das regras do sucumbimento (cf. RJTJSP 56/187). - Assim, incabível a condenação da apelante nas custas e em honorários de advogado (cf. RT 515/242, 521/242 e 554/231; RF 266/214; RDC 9/327). - Pelo exposto e tendo em vista, ainda, o douto parecer da Procuradoria da Justiça, dão provimento ao recurso. Julgado em 25-03-1986 Revista dos Tribunais. Vol. 611 - Pág. 11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adesão da requerida ao pedido de conversão de separação judicial em divórcio não tem o significado de concordância com eficácia de reconhecimento do pedido, em condições de determinar a aplicação das regras do sucumbimento.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2026-09-10T23:19:51.695Z</dcterms:created>
  <dcterms:modified xsi:type="dcterms:W3CDTF">2026-09-10T23:19:51.695Z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