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Apelação 63.927</w:t>
      </w:r>
    </w:p>
    <w:p>
      <w:r>
        <w:rPr>
          <w:b/>
          <w:bCs/>
        </w:rPr>
        <w:t xml:space="preserve">Julgado em: </w:t>
      </w:r>
      <w:r>
        <w:t xml:space="preserve">26/02/1986</w:t>
      </w:r>
    </w:p>
    <w:p/>
    <w:p>
      <w:r>
        <w:t xml:space="preserve">RENÚNCIA DA MULHER — PEDIDO DE FIXAÇÃO POSTERIOR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a questão se encontra sedimentada na jurisprudência desta Câmara. - Eu próprio, em apelações anteriores (&lt;&lt;Jurisprudência Mineira&gt;&gt;), vol. 83, págs. 67/74 e Apelação nº 63.927) já externei minha convicção a respeito. - Na primeira das decisões, disse que, doutrinariamente, sempre me filiei ao grupo que sustenta a eficácia da renúncia a alimentos exercitada por pessoa maior e capaz por ser ato jurídico acabado e que já produziu todos os seus efeitos. - Sua anulação só se pode operar pelas mesmas razões geradoras da ineficácia do negócio jurídico, de acordo com a disciplina do Código Civil. - Limito-me a reproduzir as razões dos pronunciamentos já aludidos. 1. - Fundamenta-se, a polêmica, sobretudo no art. 404, da Legislação Civil Codificada, segundo o qual se pode deixar de exercer, mas não se pode renunciar ao direito a alimentos, combinado com o art. 231, III, que impõe a ambos os cônjuges o dever de mútua assistência. - Inspirada no primeiro, surgiu a também polêmica &lt;&lt;Súmula&gt;&gt; nº 379 (*), do Supremo Tribunal Federal dispondo que, no acordo de desquite, não se admite renúncia a alimentos, que poderão ser pleiteados ulteriormente, verificados os pressupostos legais. - O próprio pretório Excelso, no entanto, tem oscilado na posição sumular. - Assim é que no julgamento do RE nº 85.019, &lt;&lt;DJ&gt;&gt;, de 14-04-78, admitiu a renúncia, desde que a mulher possua bens que lhe garantam a subsistência. - É esta a decisão que me parece acertada. - O mencionado art. 4 04 se encontra no Título V, das Relações de Parentesco do Livro I, da Parte Especial. do Código Civil, disciplinador do Direito de Família. - Parece-me, claro, por isto, que os alimentos ali cogitados são os oriundos do parentesco e não os decorrentes do matrimônio. - Estes se devem em razão do também referido art. 231, III, do mesmo Código. - SÍLVIO RODRIGUES situa a questão muito bem (&lt;&lt;Curso de Direito Civil&gt;&gt; - Direito de Família, Vol. VI, Ed. Saraiva, 3ª Ed., São Paulo, 1973, Págs. 216/217): &lt;&lt;Aqui se faz mister separar os alimentos devidos aos filhos, que são imposição dos arts. 396 e segts. do Código Civil, e os alimentos porventura devidos à mulher, estes de caráter meramente contratual e provenientes do ajuste no desquite. - Não se podem equiparar uns e outros. De modo que, se no desquite se ajustou ficar o marido alforriado de qualquer pagamento para o sustento da mulher, não podem os Juízes, ao depois, fixar uma contribuição alimentícia. - Por várias razões: em primeiro, porque, homologado o desquite, desaparece o dever de mútua assistência entre os cônjuges; em segundo lugar, porque o acordo no desquite se apresenta como um todo, em que cada cônjuge dá sua concordância, tendo em vista as cláusulas básicas que o compõem. - É possível que, se o marido soubesse que havia de ser compelido a sustentar sua ex-esposa, não concordaria em subscrever a petição de desquite; e, finalmente, porque o desquite se apresenta como um distrato, que tira sua seiva das vontades das partes. Invocar a regra de que os alimentos são irrenunciáveis, ou tentar aplicar os preceitos dos arts. 496 e segts., do Código Civil, às relações entre desquitados, me parece uma grave erronia, pois marido e mulher não são parentes, e os alimentos mencionados naqueles dispositivos são devidos por força do parentesco&gt;&gt;. 2. - A interpretação do art. 404, pela sua posição topográfica, é esposada também por WASHINGTON DE BARROS MONTEIRO (&lt;&lt;Curso d e Direito Civil&gt;&gt; - direito de Família, Ed. Saraiva, 2º Vol. 13ª Ed., São Paulo, 1975, pág. 265): &lt;&lt;É verdade que a mulher casada tem direito a alimentos do outro cônjuge, não sendo ela, entretanto parente, ou afim do marido. - Mas essa obrigação alimentar repousa em outro fundamento legal, pois, o citado Capítulo VII diz respeito aos parentes, apenas; trata-se do disposto no art. 233, do Código Civil, que regula os direitos e deveres do marido, impondo-lhe como chefe da sociedade conjugal, o dever de sustentar a família que constituiu&gt;&gt;. - Este último artigo, em verdade, obriga os cônjuges ao mútuo amparo. - É de notar-se, no entanto, que esta ajuda é devida na constância da sociedade conjugal e, dissolvida esta, se os cônjuges dela não abrem mão. - O art. 3º da Lei do Divórcio, que virtualmente repetiu o revogado art. 322, do Código Civil, fornece subsídios preciosos para o correto entendimento da "mens legis". - Ambos relacionam como efeitos jurídicos, o primeiro da separação judicial, e o segundo, do desquite, o termo dos deveres de coabitação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mulher não é nem tem parentesco com o marido. - Por isso, a obrigação de pensionar a mulher é contratual, decorre e existe enquanto não dissolvido o matrimônio. - Assim, se na separação os cônjuges acertaram o não pensionato, ao cônjuge virago pelo cônjuge varão, não podem os Juízes ao depois, fixar contribuição alimentária, especialmente quando essa renúncia se dera em virtude de composição patrimonial.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2026-06-17T14:04:23.354Z</dcterms:created>
  <dcterms:modified xsi:type="dcterms:W3CDTF">2026-06-17T14:04:23.354Z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