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INVESTIGAÇÃO DE PATERNIDADE</w:t>
      </w:r>
    </w:p>
    <w:p>
      <w:r>
        <w:rPr>
          <w:i/>
          <w:iCs/>
          <w:color w:val="666666"/>
        </w:rPr>
        <w:t xml:space="preserve">ALIMENTOS PROVISIONAIS</w:t>
      </w:r>
    </w:p>
    <w:p/>
    <w:p>
      <w:r>
        <w:rPr>
          <w:b/>
          <w:bCs/>
        </w:rPr>
        <w:t xml:space="preserve">Recurso: </w:t>
      </w:r>
      <w:r>
        <w:t xml:space="preserve">Apelação 63.927</w:t>
      </w:r>
    </w:p>
    <w:p>
      <w:r>
        <w:rPr>
          <w:b/>
          <w:bCs/>
        </w:rPr>
        <w:t xml:space="preserve">Julgado em: </w:t>
      </w:r>
      <w:r>
        <w:t xml:space="preserve">26/02/1986</w:t>
      </w:r>
    </w:p>
    <w:p/>
    <w:p>
      <w:r>
        <w:t xml:space="preserve">RENÚNCIA DA MULHER — PEDIDO DE FIXAÇÃO POSTERIOR - DESCABIMENTO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No mérito, a questão se encontra sedimentada na jurisprudência desta Câmara. - Eu próprio, em apelações anteriores (&lt;&lt;Jurisprudência Mineira&gt;&gt;), vol. 83, págs. 67/74 e Apelação nº 63.927) já externei minha convicção a respeito. - Na primeira das decisões, disse que, doutrinariamente, sempre me filiei ao grupo que sustenta a eficácia da renúncia a alimentos exercitada por pessoa maior e capaz por ser ato jurídico acabado e que já produziu todos os seus efeitos. - Sua anulação só se pode operar pelas mesmas razões geradoras da ineficácia do negócio jurídico, de acordo com a disciplina do Código Civil. - Limito-me a reproduzir as razões dos pronunciamentos já aludidos. 1. - Fundamenta-se, a polêmica, sobretudo no art. 404, da Legislação Civil Codificada, segundo o qual se pode deixar de exercer, mas não se pode renunciar ao direito a alimentos, combinado com o art. 231, III, que impõe a ambos os cônjuges o dever de mútua assistência. - Inspirada no primeiro, surgiu a também polêmica &lt;&lt;Súmula&gt;&gt; nº 379 (*), do Supremo Tribunal Federal dispondo que, no acordo de desquite, não se admite renúncia a alimentos, que poderão ser pleiteados ulteriormente, verificados os pressupostos legais. - O próprio pretório Excelso, no entanto, tem oscilado na posição sumular. - Assim é que no julgamento do RE nº 85.019, &lt;&lt;DJ&gt;&gt;, de 14-04-78, admitiu a renúncia, desde que a mulher possua bens que lhe garantam a subsistência. - É esta a decisão que me parece acertada. - O mencionado art. 4 04 se encontra no Título V, das Relações de Parentesco do Livro I, da Parte Especial. do Código Civil, disciplinador do Direito de Família. - Parece-me, claro, por isto, que os alimentos ali cogitados são os oriundos do parentesco e não os decorrentes do matrimônio. - Estes se devem em razão do também referido art. 231, III, do mesmo Código. - SÍLVIO RODRIGUES situa a questão muito bem (&lt;&lt;Curso de Direito Civil&gt;&gt; - Direito de Família, Vol. VI, Ed. Saraiva, 3ª Ed., São Paulo, 1973, Págs. 216/217): &lt;&lt;Aqui se faz mister separar os alimentos devidos aos filhos, que são imposição dos arts. 396 e segts. do Código Civil, e os alimentos porventura devidos à mulher, estes de caráter meramente contratual e provenientes do ajuste no desquite. - Não se podem equiparar uns e outros. De modo que, se no desquite se ajustou ficar o marido alforriado de qualquer pagamento para o sustento da mulher, não podem os Juízes, ao depois, fixar uma contribuição alimentícia. - Por várias razões: em primeiro, porque, homologado o desquite, desaparece o dever de mútua assistência entre os cônjuges; em segundo lugar, porque o acordo no desquite se apresenta como um todo, em que cada cônjuge dá sua concordância, tendo em vista as cláusulas básicas que o compõem. - É possível que, se o marido soubesse que havia de ser compelido a sustentar sua ex-esposa, não concordaria em subscrever a petição de desquite; e, finalmente, porque o desquite se apresenta como um distrato, que tira sua seiva das vontades das partes. Invocar a regra de que os alimentos são irrenunciáveis, ou tentar aplicar os preceitos dos arts. 496 e segts., do Código Civil, às relações entre desquitados, me parece uma grave erronia, pois marido e mulher não são parentes, e os alimentos mencionados naqueles dispositivos são devidos por força do parentesco&gt;&gt;. 2. - A interpretação do art. 404, pela sua posição topográfica, é esposada também por WASHINGTON DE BARROS MONTEIRO (&lt;&lt;Curso d e Direito Civil&gt;&gt; - direito de Família, Ed. Saraiva, 2º Vol. 13ª Ed., São Paulo, 1975, pág. 265): &lt;&lt;É verdade que a mulher casada tem direito a alimentos do outro cônjuge, não sendo ela, entretanto parente, ou afim do marido. - Mas essa obrigação alimentar repousa em outro fundamento legal, pois, o citado Capítulo VII diz respeito aos parentes, apenas; trata-se do disposto no art. 233, do Código Civil, que regula os direitos e deveres do marido, impondo-lhe como chefe da sociedade conjugal, o dever de sustentar a família que constituiu&gt;&gt;. - Este último artigo, em verdade, obriga os cônjuges ao mútuo amparo. - É de notar-se, no entanto, que esta ajuda é devida na constância da sociedade conjugal e, dissolvida esta, se os cônjuges dela não abrem mão. - O art. 3º da Lei do Divórcio, que virtualmente repetiu o revogado art. 322, do Código Civil, fornece subsídios preciosos para o correto entendimento da "mens legis". - Ambos relacionam como efeitos jurídicos, o primeiro da separação judicial, e o segundo, do desquite, o termo dos deveres de coabitação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mulher não é nem tem parentesco com o marido. - Por isso, a obrigação de pensionar a mulher é contratual, decorre e existe enquanto não dissolvido o matrimônio. - Assim, se na separação os cônjuges acertaram o não pensionato, ao cônjuge virago pelo cônjuge varão, não podem os Juízes ao depois, fixar contribuição alimentária, especialmente quando essa renúncia se dera em virtude de composição patrimonial.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Jurisprudência Mineira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2026-09-11T00:10:28.634Z</dcterms:created>
  <dcterms:modified xsi:type="dcterms:W3CDTF">2026-09-11T00:10:28.634Z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