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INVESTIGAÇÃO DE PATERNIDADE</w:t>
      </w:r>
    </w:p>
    <w:p>
      <w:r>
        <w:rPr>
          <w:i/>
          <w:iCs/>
          <w:color w:val="666666"/>
        </w:rPr>
        <w:t xml:space="preserve">ALIMENTOS PROVISIONAIS</w:t>
      </w:r>
    </w:p>
    <w:p/>
    <w:p/>
    <w:p>
      <w:r>
        <w:t xml:space="preserve">DIVERSIDADE DE CONVICÇÃO RELIGIOSA — QUANDO NÃO AUTORIZA A SUA DECRETAÇÃO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diversidade de convicção religiosa entre os cônjuges não pode ser equiparada a violação dos deveres conjugais. Quando se fala em ecumenismo e as mais variadas confissões religiosas buscam uma entidade substancial, através do diálogo disposto à convivência, não há como se admitir que marido e mulher se separem porque, na busca do mesmo Cristo, caminham por atalhos diversos, negando sua própria doutrina, já que Ele não veio para separar, senão para unir os homens. - Não bastasse esse aspecto, a Constituição da República veda todo atentado à liberdade religiosa e de culto. Daí não poder invocar um dos cônjuges, como causa da separação, a falta de simetria entre as confissões religiosas dos cônjuges. - Não consta que, pelo menos não se provou, que as diferenças que não são nem mesmo de religião, mas apenas de culto, estejam tomando insuportável a vida em comum. A insuportabilidade de que fala a lei é aquela que afeta o homem médio, não se preocupando o legislador com o comportamento dos alfenins que se melindram com simples maravalhas. - A sentença, portanto, merece ser mantida. Ac. de 20-06-1991 Revista dos Tribunais - Fevereiro de 1992 - Vol. 676 - Pág. 94. EMFOR 530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diversidade de convicção religiosa entre os cônjuges não pode ser equiparada a violação dos deveres conjugais a ensejar separação judicial, principalmente se não demonstrado que tal fato levou à insuportabilidade da vida em comum.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2026-09-11T00:11:52.655Z</dcterms:created>
  <dcterms:modified xsi:type="dcterms:W3CDTF">2026-09-11T00:11:52.655Z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