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INVESTIGAÇÃO DE PATERNIDADE</w:t>
      </w:r>
    </w:p>
    <w:p>
      <w:r>
        <w:rPr>
          <w:i/>
          <w:iCs/>
          <w:color w:val="666666"/>
        </w:rPr>
        <w:t xml:space="preserve">ALIMENTOS PROVISIONAIS</w:t>
      </w:r>
    </w:p>
    <w:p/>
    <w:p/>
    <w:p>
      <w:r>
        <w:t xml:space="preserve">RETROAÇÃO DOS EFEITOS — ALCANCE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com o advento da Lei do Divórcio, indisputavelmente, criou-se outra causa de dissolução da comunhão de bens. E isso se dessume, naturalmente, da redação do art. 8º da Lei nº 6.515/77, ad litteram: "A sentença que julgar a separação judicial produz seus efeitos, à data de seu trânsito em julgado, ou à decisão que tiver concedido separação cautelar". - Ora, diante dos termos do artigo prefalado, in fine, indiscutível que se criou outra hipótese de dissolução da comunhão de bens, qual seja da decisão que tiver concedido separação cautelar. - Sobremais, o dispositivo supramencionado, ao não distinguir efeitos patrimoniais e pessoais, por óbvio, abrangeu a todos. Vale, aqui, o brocardo: "Onde a lei não distingue não é lícito ao intérprete fazê-lo". - Nesse passo, a exegese deve ser feita de modo a se compatibilizar e harmonizar os dispositivos legais (art. 8º da Lei do Divórcio e art. 267 do CC). Aliás, nesse sentido, a boa hermenêutica, salvante quando pela natureza ou conteúdo das normas focadas, esse equilíbrio não pode ser buscado ou alcançado, o que não é o caso telado" ... . - Tais razões foram, em sua totalidade, encampadas pelo parecer do Ministério Público Federal, encontrável ... . - Da mesma forma o Supremo Tribunal Federal se posiciona sobre a matéria como se observa através do seguinte julgado: "Estabelecendo o art. 8º da Lei 6.515/77 (Lei do Divórcio) a retroação dos efeitos da sentença que extingue a sociedade conjugal à data da decisão que concedeu a separação de corpos, nessa data se desfazem tanto os deveres de ordem pessoal dos cônjuges como o regime matrimonial de bens. Desde então não se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6.515, art. 8º. A retroação dos efeitos da sentença que extingue a sociedade conjugal alcança a data da decisão concessiva da separação de corpos, desfazendo-se aí os deveres conjugais, o regime matrimonial e comunicação de bens.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2026-09-10T22:11:08.676Z</dcterms:created>
  <dcterms:modified xsi:type="dcterms:W3CDTF">2026-09-10T22:11:08.676Z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