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/>
    <w:p>
      <w:r>
        <w:t xml:space="preserve">02.2 TÍTULO II — Do Provimento, Vacância, Remoção, Redistribuição e Substituição
      Capítulo II - Da Vacância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 VACÂNCIA Art. 33. A vacância do cargo público decorrerá de: I - exoneração; II - demissão; III - promoção; IV - (Revogado pela Lei 9.527, de 10.12.1997.) V - (Revogado pela Lei 9.527, de 10.12.1997.) VI - readaptação; VII - aposentadoria; VIII - posse em outro cargo inacumulável; IX - falecimento. Art. 34. A exoneração de cargo efetivo dar-se-á a pedido do servidor, ou de ofício. Parágrafo único. A exoneração de ofício dar-se-á: I - quando não satisfeitas as condições do estágio probatório; II - quando, tendo tomado posse, o servidor não entrar em exercício no prazo estabelecido. Art. 35. A exoneração de cargo em comissão e a dispensa de função de confiança dar-se-á: (Redação dada pela Lei 9.527, de 10.12.1997.) I - a juízo da autoridade competente; II - a pedido do próprio servidor. Parágrafo único. (Revogado pela Lei 9.527, de 10.12.1997.)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2026-09-10T23:16:54.004Z</dcterms:created>
  <dcterms:modified xsi:type="dcterms:W3CDTF">2026-09-10T23:16:54.004Z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