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SERVIÇO SOCIAL DO TRANSPORTE - SETS</w:t>
      </w:r>
    </w:p>
    <w:p>
      <w:r>
        <w:rPr>
          <w:i/>
          <w:iCs/>
          <w:color w:val="666666"/>
        </w:rPr>
        <w:t xml:space="preserve">LEI 8.706 DE 14-09-1993</w:t>
      </w:r>
    </w:p>
    <w:p/>
    <w:p/>
    <w:p>
      <w:r>
        <w:t xml:space="preserve">02.2 TÍTULO II — Do Provimento, Vacância, Remoção, Redistribuição e Substituição
      Capítulo II - Da Vacância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II DA VACÂNCIA Art. 33. A vacância do cargo público decorrerá de: I - exoneração; II - demissão; III - promoção; IV - (Revogado pela Lei 9.527, de 10.12.1997.) V - (Revogado pela Lei 9.527, de 10.12.1997.) VI - readaptação; VII - aposentadoria; VIII - posse em outro cargo inacumulável; IX - falecimento. Art. 34. A exoneração de cargo efetivo dar-se-á a pedido do servidor, ou de ofício. Parágrafo único. A exoneração de ofício dar-se-á: I - quando não satisfeitas as condições do estágio probatório; II - quando, tendo tomado posse, o servidor não entrar em exercício no prazo estabelecido. Art. 35. A exoneração de cargo em comissão e a dispensa de função de confiança dar-se-á: (Redação dada pela Lei 9.527, de 10.12.1997.) I - a juízo da autoridade competente; II - a pedido do próprio servidor. Parágrafo único. (Revogado pela Lei 9.527, de 10.12.1997.) -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2026-10-26T03:21:15.678Z</dcterms:created>
  <dcterms:modified xsi:type="dcterms:W3CDTF">2026-10-26T03:21:15.678Z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