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02.4 TÍTULO II — Do Provimento, Vacância, Remoção, Redistribuição e Substituição
       Capítulo IV - Da Substituição</w:t>
      </w:r>
    </w:p>
    <w:p/>
    <w:p>
      <w:pPr>
        <w:pStyle w:val="Heading2"/>
      </w:pPr>
      <w:r>
        <w:rPr>
          <w:b/>
          <w:bCs/>
        </w:rPr>
        <w:t xml:space="preserve">Ementa</w:t>
      </w:r>
    </w:p>
    <w:p>
      <w:r>
        <w:t xml:space="preserve">Capítulo IV DA SUBSTITUIÇÃO Art. 38. Os servidores investidos em cargo ou função de direção ou chefia e os ocupantes de cargo de Natureza Especial terão substitutos indicados no regimento interno ou, no caso de omissão, previamente designados pelo dirigente máximo do órgão ou entidade. (Redação dada pela Lei 9.527, de 10.12.1997.) § 1º O substituto assumirá automática e cumulativamente, sem prejuízo do cargo que ocupa, o exercício do cargo ou função de direção ou chefia e os de Natureza Especial, nos afastamentos, impedimentos legais ou regulamentares do titular e na vacância do cargo, hipóteses em que deverá optar pela remuneração de um deles durante o respectivo período. (Redação dada pela Lei 9.527, de 10.12.1997.) § 2º O substituto fará jus à retribuição pelo exercício do cargo ou função de direção ou chefia ou de cargo de Natureza Especial, nos casos dos afastamentos ou impedimentos legais do titular, superiores a trinta dias consecutivos, paga na proporção dos dias de efetiva substituição, que excederem o referido período. (Redação dada pela Lei 9.527, de 10.12.1997.) Art. 39. O disposto no artigo anterior aplica-se aos titulares de unidades administrativas organizadas em nível de assessoria.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2026-06-17T15:20:54.471Z</dcterms:created>
  <dcterms:modified xsi:type="dcterms:W3CDTF">2026-06-17T15:20:54.471Z</dcterms:modified>
</cp:coreProperties>
</file>

<file path=docProps/custom.xml><?xml version="1.0" encoding="utf-8"?>
<Properties xmlns="http://schemas.openxmlformats.org/officeDocument/2006/custom-properties" xmlns:vt="http://schemas.openxmlformats.org/officeDocument/2006/docPropsVTypes"/>
</file>