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03.1 TÍTULO III — Dos Direitos e Vantagens
      Capítulo I - Do Vencimento e da Remuneração</w:t>
      </w:r>
    </w:p>
    <w:p/>
    <w:p>
      <w:pPr>
        <w:pStyle w:val="Heading2"/>
      </w:pPr>
      <w:r>
        <w:rPr>
          <w:b/>
          <w:bCs/>
        </w:rPr>
        <w:t xml:space="preserve">Ementa</w:t>
      </w:r>
    </w:p>
    <w:p>
      <w:r>
        <w:t xml:space="preserve">Título III DOS DIREITOS E VANTAGENS Capítulo I DO VENCIMENTO E DA REMUNERAÇÃO Art. 40. Vencimento é a retribuição pecuniária pelo exercício de cargo público, com valor fixado em lei. Parágrafo único. Nenhum servidor receberá, a título de vencimento, importância inferior ao salário mínimo. Art. 41. Remuneração é o vencimento do cargo efetivo, acrescido das vantagens pecuniárias permanentes estabelecidas em lei. § 1º A remuneração do servidor investido em função ou cargo em comissão será paga na forma prevista no art. 62. § 2º O servidor investido em cargo em comissão de órgão ou entidade diversa da de sua lotação receberá a remuneração de acordo com o estabelecido no § 1º do art. 93. § 3º O vencimento do cargo efetivo, acrescido das vantagens de caráter permanente, é irredutível. § 4º É assegurada a isonomia de vencimentos para cargos de atribuições iguais ou assemelhadas do mesmo Poder, ou entre servidores dos três Poderes, ressalvadas as vantagens de caráter individual e as relativas à natureza ou ao local de trabalho. Art. 42. Nenhum servidor poderá perceber, mensalmente, a título de remuneração, importância superior à soma dos valores percebidos como remuneração, em espécie, a qualquer título no âmbito dos respectivos Poderes, pelos Ministros de Estado, por membros do Congresso Nacional e Ministros do Supremo Tribunal Federal. Parágrafo único. Excluem-se do teto de remuneração as vantagens previstas nos incisos II a VII do art. 61. Art. 43. A menor remuneração atribuída aos cargos de carreira não será inferior a 1/40 (um quarenta avos) do teto de remuneração fixado no artigo anterior. Art. 44. O servidor perderá: I - a remuneração do dia em que faltar ao serviço, sem motivo justificado; (Redação dada pela Lei 9.527, de 10.12.1997.) II - a parcela de remuneração diária, proporcional aos atrasos, ausências justificadas, res salvadas as concessões de que trata o art. 97, e saídas antecipadas, salvo na hipótese de compensação de horário, até o mês subseqüente ao da ocorrência, a ser estabelecida pela chefia imediata. (Redação dada pela Lei 9.527, de 10.12.1997.) a ocorrer nos órgãos ou entidades da Administração Pública Federal. Parágrafo único. As faltas justificadas decorrentes de caso fortuito ou de força maior poderão ser compensadas a critério da chefia imediata, sendo assim consideradas como efetivo exercício. (Parágrafo acrescentado pela Lei 9.527, de 10.12.1997.) Art. 45. Salvo por imposição legal, ou mandado judicial, nenhum desconto incidirá sobre a remuneração ou provento. Parágrafo único. Mediante autorização do servidor, poderá haver consignação em folha de pagamento a favor de terceiros, a critério da administração e com reposição de custos, na forma definida em regulamento. Art. 46. As reposições e indenizações ao erário serão previamente comunicadas ao servidor e descontadas em parcelas mensais em valores atualizados até 30.06.1994. (Redação dada pela Lei 9.527, de 10.12.1997.) § 1º A indenização será feita em parcelas cujo valor não exceda dez por cento da remuneração ou provento. (Parágrafo acrescentado pela Lei 9.527, de 10.12.1997.) § 2º A reposição será feita em parcelas cujo valor não exceda 25% da remuneração ou provento. (Parágrafo acrescentado pela Lei 9.527, de 10.12.1997.) § 3º A reposição será feita em uma única parcela quando constatado pagamento indevido no mês anterior ao do processamento da folha. (Parágrafo acrescentado pela Lei 9.527, de 10.12.1997.) Art. 47. O servidor em débito com o erário, que for demitido, exonerado, ou que tiver sua aposentadoria ou disponibilidade cassada, ou ainda aquele cuja dívida relativa a reposição seja superior a cinco vezes o valor de sua remuneração terá o prazo de sessenta dias para quitar o débito. (Redação dada pela Lei 9.527, de 10.12.199 7.) § 1º A não quitação do débito no prazo previsto implicará sua inscrição em dívida ativa. (Parágrafo renumerado pela Lei 9.527, de 10.12.1997.) § 2º Os valores percebidos pelo servidor, em razão de decisão liminar, de qualquer medida de caráter antecipatório ou de sentença, posteriormente cassada ou revista, deverão ser repostos no prazo de trinta dias, contados da notificação para fazê-lo, sob pena de inscrição em dívida ativa. (Parágrafo acrescentado pela Lei 9.527, de 10.12.1997.) Art. 48. O vencimento, a remuneração e o provento não serão objeto de arresto, seqüestro ou penhora, exceto nos casos de prestação de alimentos resultante de decisão judicial.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2026-10-26T03:45:51.845Z</dcterms:created>
  <dcterms:modified xsi:type="dcterms:W3CDTF">2026-10-26T03:45:51.845Z</dcterms:modified>
</cp:coreProperties>
</file>

<file path=docProps/custom.xml><?xml version="1.0" encoding="utf-8"?>
<Properties xmlns="http://schemas.openxmlformats.org/officeDocument/2006/custom-properties" xmlns:vt="http://schemas.openxmlformats.org/officeDocument/2006/docPropsVTypes"/>
</file>