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200</w:t>
      </w:r>
    </w:p>
    <w:p/>
    <w:p>
      <w:r>
        <w:t xml:space="preserve">01. BANCO NACIONAL DA HABITAÇÃO (BNH) — CONTRATOS IMOBILIÁRIOS - CORREÇÃO MONETÁRIA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4.380, DE 21 DE AGOSTO DE 1964 Institui a correção monetária nos contratos imobiliários de interesse social, o sistema financeiro para aquisição da casa própria, cria o Banco Nacional da Habitação (BNH), e Sociedades de Crédito Imobiliário, as Letras Imobiliárias, o Serviço Federal de Habitação e Urbanismo e dá outras providências. CAPÍTULO I Da Coordenação dos Órgãos Públicos e da Iniciativa Privada Art. 1° O Governo Federal, através do Ministro de Planejamento, formulará a política nacional de habitação e de planejamento territorial, coordenando a ação dos órgãos públicos e orientando a iniciativa privada no sentido de estimular a construção de habitações de interesse social e o financiamento da aquisição da casa própria, especialmente pelas classes da população de menor renda. Art. 2º O Governo Federal intervirá no setor habitacional por intermédio: I - do Banco Nacional da Habitação; II - do Serviço Federal de Habitação e Urbanismo; III - das Caixas Econômicas Federais, IPASE, das Caixas Militares, dos órgãos federais de desenvolvimento regional e das sociedades de economia mista. Art. 3º Os órgãos federais enumerados no artigo anterior exercerão de preferência atividades de coordenação, orientação e assistência técnica e financeira, ficando reservados: I - aos Estados e Municípios, com a assistência dos órgãos federais, a elaboração e execução de planos diretores, projetos e orçamentos para a solução dos seus problemas habitacionais; II - à iniciativa privada, a promoção e execução de projetos de construção de habitações segundo as diretrizes urbanísticas locais. § 1° Será estimulada a coordenação dos esforços, na mesma área ou local, dos órgãos públicos federais, estaduais e municipais, bem como das iniciativas privadas, de modo que se obtenha a concentração e melhor utilização dos recursos disponíveis. § 2º A execução dos projetos somente caberá aos órgãos federais p ara suprir a falta de iniciativa local, pública ou privada. Art. 4º Terão prioridade na aplicação dos recursos: I - a construção de conjuntos habitacionais destinados à eliminação de favelas, mocambos e outras aglomerações em condições sub-humanas de habitação; II - os projetos municipais ou estaduais que com as ofertas de terrenos já urbanizados e dotados dos necessários melhoramentos, permitirem o início imediato da construção de habitações; III - os projetos de cooperativas e outras formas associativas de construção de casa própria; IV - os projetos da iniciativa privada que contribuam para a solução de problemas habitacionais ...(Vetado); V - (Vetado). CAPÍTULO II Da Correção Monetária dos Contratos Imobiliários Art. 5º Observado o disposto na presente lei, os contratos de vendas ou construção de habitações para pagamento a prazo ou de empréstimos para aquisição ou construção de habitações poderão prever o reajustamento das prestações mensais de amortização e juros, com a conseqüente correção do valor monetário da dívida toda a vez que o salário mínimo legal fôr alterado. § 1° O reajustamento será baseado em índice geral de preços mensalmente apurado ou adotado pelo Conselho Nacional de Economia que reflita adequadamente as variações no poder aquisitivo da moeda nacional. § 2º O reajustamento contratual será efetuado ...(Vetado)... na mesma proporção da variação do índice referido no parágrafo anterior: a) desde o mês da data do contrato até o mês da entrada em vigor do novo nível de salário-mínimo, no primeiro reajustamento após a data do contrato; b) entre os meses de duas alterações sucessivas do nível de salário-mínimo nos reajustamentos subseqüentes ao primeiro. § 3º Cada reajustamento entrará em vigor após 60 (sessenta) dias da data de vigência da alteração do salário-mínimo que o autorizar e a prestação mensal reajustada vigorará até novo reajustamento. § 4º Do contrato constar á, obrigatoriamente, na hipótese de adotada a cláusula de reajustamento, a relação original entre a prestação mensal de amortização e juros e o salário-mínimo em vigor na data do contrato. § 5º Durante a vigência do contrato, a prestação mensal reajustada não poderá exceder em relação ao salário-mínimo em vigor, a percentagem nele estabelecida. § 6º Para o efeito de determinar a data do reajustamento e a percentagem referida no parágrafo anterior, tomar-se-á por base o salário-mínimo da região onde se acha situado o imóvel. § 7º (Vetado). § 8º (Vetado). § 9º O disposto neste artigo, quando o adquirente fôr servidor público ou autárquico poderá ser aplicado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2026-07-28T02:09:57.410Z</dcterms:created>
  <dcterms:modified xsi:type="dcterms:W3CDTF">2026-07-28T02:09:57.410Z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