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03. BANCO NACIONAL DA HABITAÇÃO (BNH) — CONTRATOS IMOBILIÁRIOS - CORREÇÃO MONETÁRIA - INSTITUI</w:t>
      </w:r>
    </w:p>
    <w:p/>
    <w:p>
      <w:pPr>
        <w:pStyle w:val="Heading2"/>
      </w:pPr>
      <w:r>
        <w:rPr>
          <w:b/>
          <w:bCs/>
        </w:rPr>
        <w:t xml:space="preserve">Ementa</w:t>
      </w:r>
    </w:p>
    <w:p>
      <w:r>
        <w:t xml:space="preserve">Art. 65. A partir da data da vigência desta Lei as Carteiras Imobiliárias dos Institutos de Aposentadoria e Pensões não poderão iniciar novas operações imobiliárias e seus segurados passarão a ser atendidos de conformidade com este diploma legal. § 1° Os Institutos de Aposentadoria e Pensões efetuarão, no prazo máximo de doze meses, a venda dos seus conjuntos e unidades residenciais em consonância com sistema financeiro da habitação de que trata esta Lei, de acôrdo com as instruções expedidas, no prazo de noventa dias, conjuntamente pelo Serviço Federal de Habitação e o Departamento Nacional da Previdência Social. § 2° Os recursos provenientes da alienação a que se refere o parágrafo anterior serão obrigatoriamente aplicados em Letras Imobiliárias emitidas pelo BNH, de prazo de vencimento não inferior a 10 (dez) anos. § 3° Os órgãos referidos no parágrafo 1°, bem como o IPASE, as autarquias em geral ...(Vetado)... e as Sociedades de Economia Mista, excluído o Banco do Brasil, que possuam unidades residenciais ...(Vetado)... conjuntamente com a Caixa Econômica Federal ...(Vetado)... submeterão à aprovação do Presidente da República, por intermédio do Ministro do Planejamento, no prazo de 90 dias, sugestões e normas em consonância com o sistema financeiro da habitação referentes à alienação das unidades residenciais de sua propriedade ...(Vetado). § 4° Os órgãos de que trata o parágrafo anterior, celebrarão convênio com a Caixa Econômica Federal de Brasília, incumbindo-a da alienação, aos respectivos ocupantes, dos imóveis residenciais que possuírem no Distrito Federal, devendo o produto da operação constituir fundo rotativo destinado a novos investimentos em construções residenciais em Brasília, assegurado às entidades convenientes rateio financeiro anual, que lhes permita a retirada de valores correspondentes no mínimo, a cinqüenta por cento (50%) da renda líquida atual, efetivamente realizada, com a locação de tais imóvei s. § 5° Os imóveis residenciais que deixarem de ser alienados aos ocupantes, por desinteresse ou impossibilidade legal dos mesmos, serão objeto de aquisição pela União que poderá para resgatá-los, solicitar a abertura de crédito especial, dar em pagamento imóveis não necessários aos seus serviços ou ações de sua propriedade em empresas de economia mista, mantida, nesta hipótese, a situação majoritária da União. § 6° A administração dos imóveis adquiridos pela União, na forma do parágrafo anterior, será feita pelo Serviço do Patrimônio da União. § 7° Realizadas as operações previstas no parágrafo primeiro, extinguir-se-ão as Carteiras Imobiliárias dos IAPs. § 8° Os atuais inquilinos ou ocupantes de imóveis residenciais dos IAPs e, sucessivamente, os seus contribuintes, estes inscritos e classificados de acôrdo com a legislação vigente, terão preferência no atendimento pelos órgãos estatais integrantes do sistema financeiro da habitação. Art. 66. O Ministro do Planejamento adotará as medidas necessárias para a criação de um Fundo de Assistência Habitacional objetivando o financiamento às populações de renda insuficiente, destinando-lhes recursos próprios. Art. 67. O Banco Nacional da Habitação e o Serviço Federal de Habitação e Urbanismo deverão publicar mensalmente a relação dos servidores admitidos ao seu serviço, a qualquer título, no mês anterior à publicação. Art. 68. O Poder Executivo baixará os regulamentos necessários à execução desta Lei, inclusive os relativos à extinção dos órgãos federais que vêm exercendo funções e atividades que possam ser por elas reguladas, podendo incorporar serviços, órgãos e departamentos, dispondo sobre a situação dos respectivos servidores e objetivando o enquadramento dos órgãos federais que integram o sistema financeiro da habitação. Parágrafo único. Dentro do prazo de noventa (90) dias, o Poder Executivo baixará os atos necessários à adaptação do funcioname nto das Caixas Econômicas Federais, Caixas Militares e IPASE aos dispositivos desta Lei. Art. 69. O contrato de promessa de cessão de direitos relativos a imóveis não loteados, sem cláusula de arrependimento e com emissão de posse, uma vez inscrita no Registro Geral de Imóveis, atribui ao promitente cessionário direito real oponível a terceiro e confere direito a obtenção compulsória da escritura definitiva de cessão, aplicando-se, neste caso, no que couber, o disposto no artigo 16 do Decreto-lei n. 58, de 10 de dezembro de 1937, e no artigo 346 do Código do Processo Civil. Parágrafo único. O disposto neste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2026-07-28T02:01:34.136Z</dcterms:created>
  <dcterms:modified xsi:type="dcterms:W3CDTF">2026-07-28T02:01:34.137Z</dcterms:modified>
</cp:coreProperties>
</file>

<file path=docProps/custom.xml><?xml version="1.0" encoding="utf-8"?>
<Properties xmlns="http://schemas.openxmlformats.org/officeDocument/2006/custom-properties" xmlns:vt="http://schemas.openxmlformats.org/officeDocument/2006/docPropsVTypes"/>
</file>