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REAJUSTAMENTO DE PRESTAÇÕES</w:t>
      </w:r>
    </w:p>
    <w:p/>
    <w:p/>
    <w:p>
      <w:r>
        <w:t xml:space="preserve">CONTRATOS DE FINANCIAMENTO — PLANOS DE REAJUSTAMENTO - DEFINE PLANOS</w:t>
      </w:r>
    </w:p>
    <w:p/>
    <w:p>
      <w:pPr>
        <w:pStyle w:val="Heading2"/>
      </w:pPr>
      <w:r>
        <w:rPr>
          <w:b/>
          <w:bCs/>
        </w:rPr>
        <w:t xml:space="preserve">Ementa</w:t>
      </w:r>
    </w:p>
    <w:p>
      <w:r>
        <w:t xml:space="preserve">LEI Nº 8.692, DE 28 DE JULHO DE 1993 Define planos de reajustamento dos encargos mensais e dos saldos devedores nos contratos de financiamentos habitacionais no âmbito do Sistema Financeiro da Habitação e dá outras providências. O PRESIDENTE DA REPÚBLICA Faço saber que o Congresso Nacional decreta e eu sanciono a seguinte lei: Art. 1º É criado o Plano de Comprometimento da Renda (PCR), como modalidade de reajustamento de contrato de financiamento habitacional, no âmbito do Sistema Financeiro da Habitação. Art. 2º Os contratos de financiamento habitacional celebrados em conformidade com o Plano de Comprometimento da Renda estabelecerão percentual de no máximo trinta por cento da renda bruta do mutuário destinado ao pagamento dos encargos mensais. Parágrafo único. Define-se como encargo mensal, para efeitos desta lei, o total pago, mensalmente, pelo beneficiário de financiamento habitacional e compreendendo a parcela de amortização e juros, destinada ao resgate do financiamento concedido, acrescida de seguros estipulados em contrato. Art. 3º O percentual máximo referido no caput do art. 2º corresponde à relação entre o valor do encargo mensal e à renda bruta do mutuário no mês imediatamente anterior. Parágrafo único. Durante todo o curso do financiamento será admitido reajustar o valor do encargo mensal até o percentual máximo de comprometimento da renda estabelecido no contrato, independentemente do percentual verificado por ocasião da celebração do mesmo. Art. 4º O reajustamento dos encargos mensais nos contratos regidos pelo Plano de Comprometimento da Renda terá por base o mesmo índice e a mesma periodicidade de atualização do saldo devedor dos contratos, mas a aplicação deste índice não poderá resultar em comprometimento de renda em percentual superior ao máximo estabelecido no contrato. § 1º Sempre que o valor do novo encargo resultar em comprometimento da renda d o mutuário em percentual superior ao estabelecido em contrato, a instituição financiadora, a pedido do mutuário, procederá à revisão do seu valor, para adequar a relação encargo mensal/renda ao referido percentual máximo. § 2º As diferenças apuradas nas revisões dos encargos mensais serão atualizadas com base nos índices contratualmente definidos para reajuste do saldo devedor e compensados nos encargos mensais subseqüentes. § 3º Não se aplica o disposto no § 1º às situações em que o comprometimento da renda em percentual superior ao máximo estabelecido no contrato tenha-se verificado em razão da redução da renda ou por alteração na composição da renda familiar, inclusive em decorrência da exclusão de um ou mais coadquirentes. § 4º Nas situações de que trata o parágrafo anterior, é assegurado ao mutuário o direito de renegociar as condições de amortização, buscando adequar novo comprometimento de renda ao percentual máximo estabelecido no contrato, mediante a dilação do prazo de liqüidação do financiamento, observado o prazo máximo estabelecido em contrato e demais condições pactuadas. § 5º Nos casos em que for verificada a insuficiência de amortização aplica-se o estabelecido no art. 13 desta lei. Art. 5º Durante todo o curso do contrato, a instituição credora manterá demonstrativo da evolução do saldo devedor do financiamento, discriminando o valor das quotas mensais de amortização, calculadas em valor suficiente para a extinção da dívida no prazo contratado, bem como as quotas mensais de amortização efetivamente pagas pelo mutuário. Art. 6º Os contratos celebrados após a data de publicação desta lei, em conformidade com o Plano de Equivalência Salarial (PES), serão regidos pelo disposto nesta lei. Art. 7º Não é permitido às instituições financiadoras aplicarem quaisquer dispositivos de reajuste de encargos mensais do Plano de Equivalência Salarial nos contratos regidos pelo Plano de Comprometimento da Renda, vedada a alteração de Plano no curso do financiamento, salvo por acordo entre as partes. Art. 8º No Plano de Equivalência Salarial o encargo mensal, conforme definido do parágrafo único do art. 2º, desta lei, acrescido do Coeficiente de Equiparação Salarial (CES), será reajustado no mesmo percentual e na mesma periodicidade dos aumentos salariais da categoria profissional do mutuário, aplicável no mês subseqüente ao de competência do aumento salarial. § 1º Ocorrendo reajustes salariais, diferenciados para uma mesma categoria profissional, para efeito do disposto no caput deste artigo, a instituição credora deverá utilizar o maior dos índices de 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2026-07-27T23:37:22.992Z</dcterms:created>
  <dcterms:modified xsi:type="dcterms:W3CDTF">2026-07-27T23:37:22.992Z</dcterms:modified>
</cp:coreProperties>
</file>

<file path=docProps/custom.xml><?xml version="1.0" encoding="utf-8"?>
<Properties xmlns="http://schemas.openxmlformats.org/officeDocument/2006/custom-properties" xmlns:vt="http://schemas.openxmlformats.org/officeDocument/2006/docPropsVTypes"/>
</file>