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ANTÔNIO DE PÁDUA RIBEIRO</w:t>
      </w:r>
    </w:p>
    <w:p/>
    <w:p>
      <w:r>
        <w:t xml:space="preserve">DEVEDOR ORIGINÁRIO — POSSIBILIDADE DE DISPOR DO BEM GRAVADO COM GARANTIA HIPOTECÁRIA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concernente às demais questões adstritas ao mérito, aberto o pórtico para o exame, dou relevo ao lógico raciocínio jurídico circunstanciado no objurgado v. acórdão, "verbis": "omissis" "Esta inovação cerceia profundamente o direito de propriedade. Por um diploma legal procura-se romper a estrutura de um contrato e impede-se um dos poderes inerentes ao exercício da propriedade, que é o mais importante dele - o poder de dispor. "Por meio de uma nova forma de contrato e por uma modalidade especial de pagamento das prestações, tenta-se impedir a possibilidade de disposição do bem. O aumento dos encargos e alteração unilateral do preço vulneram a regra do art. 1.125 do Código Civil: "Nulo é o contrato de compra e venda, quando se deixa ao arbítrio exclusivo de uma das partes a taxação do preço. "Segundo os ordenamentos legais vigentes, o agente financeiro não mais poderá interferir no contrato, a não ser naquelas questões que dizem respeito à garantia, instituída a seu favor, ou seja, à hipoteca. O imóvel é do mutuário. O pacto adjeto de hipoteca não retira ou afeta o direito de propriedade. "Trata-se a hipoteca de um direito real de garantia. Nessa qualidade, vincula o bem gravado, acompanhando-o sempre onde quer que se encontre. Adere à coisa, sem, no entanto, trazer limitações quanto ao poder de dispor. O direito de seqüela, pois, não impede transações ou alienações. "Mas a instituição de novo encargo com a transferência do bem representa uma limitação ao poder de dispor e uma deturpação do instituto da hipoteca. "Na verdade, os contratos, e mesmo as leis, permitem a transferência. A diferença está nas condições que impõem para a mesma se operar, o que representa a mais ignominiosa ofensa ao direito de propriedade e uma transgressão primária à natureza da hipoteca. "Jamais se admitiu a interferência do credor hipotecário nos negócios de seu devedor. Se a garantia não sofre o menor prejuízo com a venda do bem, é contrário aos mais singelos princípios do direito permitir a interferência do agente financeiro nos destinos que se dá ao imóvel. "A própria Lei nº 4.380, de 21-8-1964, que instituiu o sistema financeiro para a aquisição da casa própria, deixa entrever, no art. 69, a possibilidade da transferência: "O contrato de promessa de cessão ou de direitos relativos a imóveis não loteados, sem cláusula de arrependimento e com imissão de posse, uma vez inscrita no registro geral de imóveis, atribui ao promitente cessionário direito real oponível a terceiro e confere direito à obtenção compulsória da escritura definitiva de cessão, aplicando-se, neste caso, no que couber, o disposto no art. 16 do Decreto-Lei nº 58, de 10 de dezembro de 1937". "As disposições do artigo acima e dos arts. 292 e 293 da Lei dos Registros Públicos não podem ser obstaculizadas pelo estatuído, antes, no Decreto-Lei nº 2.406, e, depois, na Lei nº 8.004. A oneração com um novo financiamento é contrária ao direito positivo vigente, que sempre admitiu a cessão de contratos relativos a imóveis mediante simples trespasse ou transferência, de inovarem-se as obrigações passadas para o cessionário relativamente ao credor do cedente" ... . - Esses assentamentos afeiçoam-se à realidade social - que não pode ser olvidada (art. 5º, Lei Introd. ao Código Civil, -, têm favorável precedente desta Corte: "Sistema Financeiro de Habitação. Cessão do imóvel financiado. Ação de consignação de pagamento. Inocorrência, no caso, de ofensa aos arts. 1º, 2º e 3º da Lei nº 8.004, de 14-3-1990. Dissídio pretoriano não configurado. Recurso Especial não conhecido". (REsp 32.454-7-RS - Rel. Min. ANTÔNIO DE PÁDUA RIBEIRO - "in" DJU de 3-5-1993). - Jun te-se que, no pertencente aos direitos e obrigações estabelecidos no contrato entre a instituição financeira e o originário devedor, sobreconcentra-se a continuação da mesma garantia hipotecária. Ac. de 14-12-1994 Arquivo do EMFOR - STJ/1.072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Persistente a garantia hipotecária, o devedor originário pode transferir o imóvel, uma vez que não está limitado o seu poder de dispor do bem gravado.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2026-10-26T02:45:08.207Z</dcterms:created>
  <dcterms:modified xsi:type="dcterms:W3CDTF">2026-10-26T02:45:08.207Z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