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Julgado em: </w:t>
      </w:r>
      <w:r>
        <w:t xml:space="preserve">17/09/1985</w:t>
      </w:r>
    </w:p>
    <w:p/>
    <w:p>
      <w:r>
        <w:t xml:space="preserve">QUAIS OS ATOS COMERCIAIS QUE PRATICA — INTERPELAÇÃO JUDICIAL DESNECESSÁRIA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matéria já foi apreciada, em substância pelo Grupo, na Ação Rescisória nº 793, em lúcido acórdão do qual foi Relator o Desembargador BARBOSA MOREIRA. - Trata-se de controvérsia sobre pedido de condenação de incorporadora e construtora em multa pactuada em contrato de compra e venda e empreitada reajustável. - Não há dúvida de que as empresas de construção têm natureza comercial, mas, também, é certo que só é mercantil a compra e venda de móveis e semoventes, o que desde logo afasta a incidência do art. 205 do Código Comercial não existindo, pois, a necessidade "in casu", de interpelação para a constituição da construtora em mora. - Cabível é, portanto, a aplicação do art. 138 do mesmo código, uma vez que a embargada infringiu a cláusula 3.4 das escrituras celebradas. - Todavia há de considerar-se a "quitação", reconhecida, que surta efeitos, como bem notou a sentença. - Por outro lado tratando-se de dívida de valor impõe-se a correção monetária, que se concedia mesmo antes da Lei nº 6.899/81. Julgado em 18-09-1985 Arquivo do EMFOR, TJ/1.424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Inaplicabilidade do artigo 205 do Código Comercial e incidência do artigo 138 do mesmo Estatuto. - Embora sejam comerciais as empresas de construção (Lei nº 4.068/62) só pode ser considerada mercantil a compra e venda de efeitos móveis ou semoventes (Código Comercial, artigo 191).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2026-10-26T05:53:31.602Z</dcterms:created>
  <dcterms:modified xsi:type="dcterms:W3CDTF">2026-10-26T05:53:31.602Z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