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SISTEMA FINANCEIRO DA HABITAÇÃO</w:t>
      </w:r>
    </w:p>
    <w:p>
      <w:r>
        <w:rPr>
          <w:i/>
          <w:iCs/>
          <w:color w:val="666666"/>
        </w:rPr>
        <w:t xml:space="preserve">PLANO DE EQUIVALÊNCIA SALARIAL</w:t>
      </w:r>
    </w:p>
    <w:p/>
    <w:p>
      <w:r>
        <w:rPr>
          <w:b/>
          <w:bCs/>
        </w:rPr>
        <w:t xml:space="preserve">Recurso: </w:t>
      </w:r>
      <w:r>
        <w:t xml:space="preserve">re .</w:t>
      </w:r>
    </w:p>
    <w:p/>
    <w:p>
      <w:r>
        <w:t xml:space="preserve">RETIRADA DE PRO LABORE PELOS SUCESSORES — SE É POSSÍVEL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Efetivamente, não faz a agravante jus ao pro labore. Em primeiro lugar, não participa da sociedade, que lhe é estranha. Seu marido faleceu. A retirada não se transfere, nesses casos, aos sucessores do sócio falecido, pois é verba especificamente derivada da condição de quem compõe uma sociedade, e enquanto sócio, retirada mensalmente do caixa ou do estabelecimento, quando se tratar de retirada em mercadoria. É como se o marido da agravante tivesse, ao invés de retirada, salário. Uma vez falecido, ainda que tenha haveres apuráveis, já não tem salários a receber, salvo, quando for o caso, os retidos ou não pagos. - Cabe à inventariante acelerar a ultimação do inventário, e, antes, a apuração dos haveres do sócio falecido, para o que, em havendo entraves causados pelo sócio remanescente, tem ela os remédios legais - Isto posto, nego provimento ao agravo. Ac. de 06-08-1992 Jurisprudência Mineira - Julho a Setembro de 1992 - Vol. 119 - Pág. 90. EMFOR 530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retirada pro labore na sociedade comercial somente é permitida ao sócio pelo exercício de comércio, não podendo ser transferida aos seus sucessores, caso venha a falecer, visto que tal verba equivale a salário decorrente da condição de quem compõe uma sociedade e enquanto for sócio. Assim, uma vez falecido, ainda que tenha haveres apuráveis, já não tem salários a receber, salvo, quando for o caso, os retidos ou não pagos.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Jurisprudência Mineira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2026-10-26T02:43:11.777Z</dcterms:created>
  <dcterms:modified xsi:type="dcterms:W3CDTF">2026-10-26T02:43:11.777Z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