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SISTEMA FINANCEIRO DA HABITAÇÃO</w:t>
      </w:r>
    </w:p>
    <w:p>
      <w:r>
        <w:rPr>
          <w:i/>
          <w:iCs/>
          <w:color w:val="666666"/>
        </w:rPr>
        <w:t xml:space="preserve">PLANO DE EQUIVALÊNCIA SALARIAL</w:t>
      </w:r>
    </w:p>
    <w:p/>
    <w:p/>
    <w:p>
      <w:r>
        <w:t xml:space="preserve">AVALIAÇÃO DOS BENS SOCIAIS — VALORES REAIS E NÃO APENAS CONTÁBEIS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Determinando a sentença que para a dissolução parcial de Libardoni &amp; Cia. Ltda. os haveres dos sócios excluídos "serão apurados em liquidação de sentença, através de balanço especial, efetuado de forma ampla, com plena verificação física e contábil, reavaliando-se o ativo, de modo a apurar-se a situação real da empresa", nada mais fez do que seguir a orientação deste Tribunal e do Supremo Tribunal Federal. - Vale transcrever este voto do Ministro MOREIRA ALVES: "... Entendo, porém, que se acolhe a dissolução parcial isto implica que, por essa dissolução, o sócio dissidente sai da sociedade, como sairia se houvesse dissolução total. Apenas, a diferença entre ambas as soluções é com relação aos demais sócios, que se fosse total, não poderiam continuar na sociedade, que se teria extinguido. Como é parcial, eles continuam na sociedade, que permanece. Ora, assim entendendo, considero que, com referência ao sócio que sai, a ele não se deve aplicar, por analogia, o art. 15, da Lei de Sociedades por Cotas de Responsabilidade limitada, uma vez que esse artigo dá ao sócio dissidente a possibilidade de retirar-se, possibilidade essa que ele só se utilizará se verificar que o valor dos bens, constante do balanço social, correspondem exatamente à realidade. - "Em se tratando, porém de dissolução parcial, em que ele se retira sem se utilizar dessa faculdade de retirada voluntária, entendo que aqui deverá aplicar-se a regra da dissolução total com referência a ele, isto é, que - como salientou o eminente Ministro DÉCIO MIRANDA - seja feita, quanto da retirada de sua cota com base nos valores reais e não apenas nos valores contábeis..." (RTJ vol. 89/1.070). Ac. de 07-10-1986 Juris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dissolução parcial da sociedade comercial, a liquidação há de aproximar-se da dissolução total, isto é, seja feita a avaliação dos bens sociais com base nos valores reais e não apenas nos valores contábeis.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2026-07-27T23:41:18.875Z</dcterms:created>
  <dcterms:modified xsi:type="dcterms:W3CDTF">2026-07-27T23:41:18.875Z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