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VALOR DA CAUSA</w:t>
      </w:r>
    </w:p>
    <w:p>
      <w:r>
        <w:rPr>
          <w:i/>
          <w:iCs/>
          <w:color w:val="666666"/>
        </w:rPr>
        <w:t xml:space="preserve">DISSOLUÇÃO DE SOCIEDADE COMERCIAL</w:t>
      </w:r>
    </w:p>
    <w:p/>
    <w:p/>
    <w:p>
      <w:r>
        <w:t xml:space="preserve">QUANDO NÃO DEPENDE DE PREVISÃO CONTRATUAL OU DE PRONUNCIAMENTO JUDICIAL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Basta a desinteligência entre os sócios para gerar a exclusão de um deles, independentemente de previsão contratual ou de pronunciamento judicial. Nesse rumo a orientação da jurisprudência consoante decisões proferidas pelo Tribunal de Justiça da Bahia (Rev. dos Tribs. 619/194) e pelo Primeiro Tribunal de Alçada Civil de São Paulo (Rev. dos Tribs. 510/131). Assim também a diretriz traçada pela doutrina. FRAN MARTINS reporta-se a respeito a ensinamentos de SOARES DE FARIA, para quem: "O caso de desarmonia profunda entre os sócios justifica cabalmente a radiação do sócio que a provoca e mantém"; e de ORLANDO GOMES segundo o qual: "Aos outros sócios assiste direito de excluir da sociedade aquele que se tornou elemento perturbador de sua existência e desenvolvimento menos porque tenham e possam exercer poder disciplinar sobre o turbulento ou pernicioso do que pela conduta inadimplente, que passou a ter". (in Direito Societário, Estudos e Pareceres, Capítulo 2, "A Exclusão de Sócio nas Sociedades por Quotas", pág. 258, ed. Forense 1984). Ac. de 13-08-1991 Revista do Superior Tribunal de Justiça - Dez. 1991 - Nº 28 - Pág. 454.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desarmonia entre os sócios é suscetível de acarretar a exclusão de um deles por deliberação da maioria, independentemente de previsão contratual ou de pronunciamento judicial.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2026-10-26T03:21:47.207Z</dcterms:created>
  <dcterms:modified xsi:type="dcterms:W3CDTF">2026-10-26T03:21:47.207Z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