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VALOR DA CAUSA</w:t>
      </w:r>
    </w:p>
    <w:p>
      <w:r>
        <w:rPr>
          <w:i/>
          <w:iCs/>
          <w:color w:val="666666"/>
        </w:rPr>
        <w:t xml:space="preserve">DISSOLUÇÃO DE SOCIEDADE COMERCIAL</w:t>
      </w:r>
    </w:p>
    <w:p/>
    <w:p/>
    <w:p>
      <w:r>
        <w:t xml:space="preserve">TRANSFERÊNCIA POR MERA TRADIÇÃO — EFEITOS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o cônjuge supérstite levantar, após o óbito, o saldo depositado em conta conjunta com a inventariada, mas, a comunhão existente implica em que tenha de devolver ao monte metade do quantitativo sacado, porque presumível é a igualdade dos quinhões por aplicação da regra do art. 639 do Código Civil. - As ações ao portador transferem-se por mera tradição manual, não havendo por que então exigir o agravante a prova do negócio. V. o t. SUCESSÃO st. CONTA CONJUNTA EMFOR 469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2026-07-28T02:41:03.661Z</dcterms:created>
  <dcterms:modified xsi:type="dcterms:W3CDTF">2026-07-28T02:41:03.661Z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