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VALOR DA CAUSA</w:t>
      </w:r>
    </w:p>
    <w:p>
      <w:r>
        <w:rPr>
          <w:i/>
          <w:iCs/>
          <w:color w:val="666666"/>
        </w:rPr>
        <w:t xml:space="preserve">DISSOLUÇÃO DE SOCIEDADE COMERCIAL</w:t>
      </w:r>
    </w:p>
    <w:p/>
    <w:p/>
    <w:p>
      <w:r>
        <w:t xml:space="preserve">MARIDO E MULHER — SUCESSÃO EM PECÚLIO - COMO SE RESOLVE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marido e mulher falecem ao mesmo tempo, não haverá transmissão de direitos entre eles. É que os direitos a serem transmitidos, não encontrariam sujeito para os receber. Assim, o pecúlio previdenciário do marido é desde logo atribuído a seus dependentes ou ascendentes, sem contemplação aos da esposa, porque ela não sobreviveu a ele. V. o texto do acórdão sob o título PREVIDÊNCIA SOCIAL, st. PECÚLIO. EMFOR 502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2026-07-28T01:45:04.571Z</dcterms:created>
  <dcterms:modified xsi:type="dcterms:W3CDTF">2026-07-28T01:45:04.571Z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