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LEI 8.038 DE 28-05-1990</w:t>
      </w:r>
    </w:p>
    <w:p/>
    <w:p>
      <w:r>
        <w:rPr>
          <w:b/>
          <w:bCs/>
        </w:rPr>
        <w:t xml:space="preserve">Recurso: </w:t>
      </w:r>
      <w:r>
        <w:t xml:space="preserve">habeas corpus .</w:t>
      </w:r>
    </w:p>
    <w:p/>
    <w:p>
      <w:r>
        <w:t xml:space="preserve">06. PARTE II — Do Processo
      TÍTULO I - Disposições Gerais
      Capítulo IV - Da Jurisprudência</w:t>
      </w:r>
    </w:p>
    <w:p/>
    <w:p>
      <w:pPr>
        <w:pStyle w:val="Heading2"/>
      </w:pPr>
      <w:r>
        <w:rPr>
          <w:b/>
          <w:bCs/>
        </w:rPr>
        <w:t xml:space="preserve">Ementa</w:t>
      </w:r>
    </w:p>
    <w:p>
      <w:r>
        <w:t xml:space="preserve">CAPÍTULO IV Da Jurisprudência SEÇÃO I Da Uniformização de Jurisprudência Art. 118 - No processo em que haja sido suscitado o incidente de uniformização de jurisprudência, o julgamento terá por objeto o reconhecimento da divergência acerca da interpretação do direito. § 1º Reconhecida a divergência acerca da interpretação do direito, lavrar-se-á o acórdão. § 2º Publicado o acórdão, o relator tomará o parecer do Ministério Público no prazo de quinze dias. Findo este, com ou sem parecer, o relator, em igual prazo, lançará relatório nos autos e os encaminhará ao Presidente da Corte Especial ou Seção para designar a sessão de julgamento. A Secretaria expedirá cópias do relatório e dos acórdãos divergentes e fará a sua distribuição aos Ministros. § 3º O relator, ainda que não integre a Corte Especial, dela participará no julgamento do incidente, excluindo-se o Ministro mais moderno. Art. 119 - No julgamento de uniformização de jurisprudência, a Corte Especial e as Seções se reunirão com o quorum mínimo de dois terços de seus membros. § 1º O Presidente, em qualquer caso, somente proferirá voto de desempate. § 2º No julgamento, o pedido de vista não impede votem os Ministros que se tenham por habilitados a fazê-lo, devendo o Ministro que o formular apresentar o feito em mesa na primeira sessão seguinte. § 3º Proferido o julgamento, em decisão tomada pela maioria absoluta dos membros que integram o órgão julgador, o relator deverá redigir o projeto de súmula, a ser aprovado pelo Tribunal na mesma sessão ou na primeira sessão ordinária seguinte. Art. 120 - Cópia do acórdão será, no prazo para sua publicação, remetida à Comissão de Jurisprudência, que ordenará: I - seja registrada a súmula e o acórdão, em sua íntegra, em livro especial, na ordem numérica da apresentação; II - seja lançado na cópia o número recebido no seu registro e na ordem dessa numeração, arquivando-a em pasta própria; III - seja a súmula lançada e m ficha que conterá todas as indicações identificadoras do acórdão e o número do registro exigido no inciso I, arquivando-se em ordem alfabética, com base na palavra ou expressão designativa do tema do julgamento; IV - seja o acórdão publicado na Revista do Tribunal, sob o título "uniformização de jurisprudência". Parágrafo único - Se o acórdão contiver revisão de súmula compendiada, proceder-se-á na forma determinada neste artigo, fazendo-se, em coluna própria, a sua averbação no registro anterior, bem como referência na ficha do julgamento. Art. 121 - Se for interposto recurso extraordinário, em qualquer processo no Tribunal, que tenha por objeto tese de direito compendiada em súmula, a interposição será comunicada à Comissão de Jurisprudência, que determinará a averbação dessa comunicação em coluna própria do registro no livro especial e a anotará na ficha da súmula compendiada. Parágrafo único - A decisão proferida no recurso extraordinário também será averbada e anotada, na forma exigida neste artigo, arquivando-se, na mesma pasta, cópia do acórdão do Supremo Tribunal Federal. SEÇÃO II Da Súmula Art. 122 - A jurisprudência firmada pelo Tribunal será compendiada na Súmula do Superior Tribunal de Justiça. § 1º Será objeto da súmula o julgamento tomado pelo voto da maioria absoluta dos membros que integram a Corte Especial ou cada uma das Seções, em incidente de uniformização de jurisprudência. Também poderão ser inscritos na súmula os enunciados correspondentes às decisões firmadas por unanimidade dos membros componentes da Corte Especial ou da Seção, em um caso, ou por maioria absoluta em pelo menos dois julgamentos concordantes. § 2º A inclusão da matéria objeto de julgamento na Súmula da Jurisprudência do Tribunal será deliberada pela Corte Especial ou pela Seção, por maioria absoluta dos seus membros. § 3º Se a Seção entender que a matéria a ser sumulada é comum às Seções, remeterá o feito à Corte Especial. Art . 123 - Os enunciados da súmula, seus adendos e emendas, datados e numerados, serão publicados três vezes no Diário da União, em datas próximas. Parágrafo único - As edições ulteriores da súmula incluirão os adendos e emendas. Art. 124 - A citação da súmula pelo número correspondente dispensará, perante o Tribunal, a referência a outros julgados no mesmo sentido. Art. 125 - Os enunciados da súmula prevalecem e serão revistos na forma estabelecida neste Regimento Interno. § 1º Qualquer dos Ministros poderá propor, em novos feitos, a revisão da jurisprudência compendiada na súmula, sobrestando-se o jul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2026-07-28T04:17:06.753Z</dcterms:created>
  <dcterms:modified xsi:type="dcterms:W3CDTF">2026-07-28T04:17:06.753Z</dcterms:modified>
</cp:coreProperties>
</file>

<file path=docProps/custom.xml><?xml version="1.0" encoding="utf-8"?>
<Properties xmlns="http://schemas.openxmlformats.org/officeDocument/2006/custom-properties" xmlns:vt="http://schemas.openxmlformats.org/officeDocument/2006/docPropsVTypes"/>
</file>