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/>
    <w:p>
      <w:r>
        <w:t xml:space="preserve">SE PODE O JUIZ FAZÊ-LO DURANTE A SUSPENSÃO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Nada obstante não seja admitida a pratica de atos processuais durante a suspensão do processo exceto em se tratando de atos urgentes, para evitar dano irreparável (CPC, art. 266), nada impede a requisição de certidões no curso daquele período posto que a providência não constitui qualquer gravame. - Ora, inexistindo prejuízo, não há ilegalidade a sanar. - Cumpre ao magistrado assegurar às partes igualdade de tratamento, sendo-lhe defeso suprir a ação processual que lhes compete. - Na espécie, o Dr. Juiz apenas se adiantou, na ânsia de bem investigar a verdade, velando, outrossim, pela rápida solução do litígio. De outra parte, disporão as partes de novos elementos quando a demanda for reaberta. Ac. de 20-03-1990 Jurisprudência Catarinense, 1º e 2º Trim. de 1990 - Vol. 66 - Pág. 393. EMFOR 519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Sem embargo das disposições contidas no art. 266 do CPC, desde que assegurada às partes, igualdade de tratamento (art. 125, I), onde o juiz, durante a suspensão do processo, requisitar documento com o que, além da busca da verdade, estará velando pela rápida solução do affaire e economizando preciosos tempo antes mesmo do prosseguimento de demanda.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2026-06-17T14:03:46.875Z</dcterms:created>
  <dcterms:modified xsi:type="dcterms:W3CDTF">2026-06-17T14:03:46.875Z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