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CONSERVAÇÃO DE ESTRADAS</w:t>
      </w:r>
    </w:p>
    <w:p>
      <w:r>
        <w:rPr>
          <w:i/>
          <w:iCs/>
          <w:color w:val="666666"/>
        </w:rPr>
        <w:t xml:space="preserve">COBRANÇA PELO MUNICÍPIO</w:t>
      </w:r>
    </w:p>
    <w:p/>
    <w:p>
      <w:r>
        <w:rPr>
          <w:b/>
          <w:bCs/>
        </w:rPr>
        <w:t xml:space="preserve">Recurso: </w:t>
      </w:r>
      <w:r>
        <w:t xml:space="preserve">RE 38.750</w:t>
      </w:r>
    </w:p>
    <w:p/>
    <w:p>
      <w:r>
        <w:t xml:space="preserve">AUMENTO POR ATO DO MINISTRO DE VIAÇÃO E OBRAS PÚBLICAS —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o aumento de tarifas portuárias por ato do Ministro da Viação e Obras Públicas. Referência: - Const. Fed., artigo 30, III; - Decreto nº 24.508, de 29.06.34, artigo 3º. - Decreto nº 24.511, de 29.06.34. - Dec.-Lei nº 8.439, de 24.12.45, artigo 25. - Portarias (M.V.O.P.) 185, de 23.03.56 e 193, de 31.03.56, - Lei nº 3.421, de 10.07.58, artigo 20. ERE 38.750, de 15.12.61; RE 37.239, de 09.03.64. Aprovada em Sessão de 13-12-1963 - pág. 83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2026-10-26T04:34:33.398Z</dcterms:created>
  <dcterms:modified xsi:type="dcterms:W3CDTF">2026-10-26T04:34:33.398Z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