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HABILITAÇÃO — EXIGÊNCIA DE ATESTADO EM NOME DA EMPRESA - REQUISITO DA CAPACITAÇÃO TÉCNICO OPERACIONAL - ILEGALIDADE</w:t>
      </w:r>
    </w:p>
    <w:p/>
    <w:p>
      <w:pPr>
        <w:pStyle w:val="Heading2"/>
      </w:pPr>
      <w:r>
        <w:rPr>
          <w:b/>
          <w:bCs/>
        </w:rPr>
        <w:t xml:space="preserve">Resumo</w:t>
      </w:r>
    </w:p>
    <w:p>
      <w:r>
        <w:t xml:space="preserve">- A respeitável sentença, cujo relatório se adota, concedeu segurança pleiteada pela apelada para que ela seja habilitada no procedimento de Tomada de Preços n. 25/95, do Município de Piracicaba, cuja finalidade é a contratação de fornecimento de materiais e mão-de-obra para a execução de serviços de limpeza e conservação em unidades daquela Prefeitura. - Além do recurso oficial, o impetrado apelou. Afirma que a apelada foi inabilitada porque deixou de apresentar atestado que demonstrasse a prestação de serviços anteriores, com especificação do número de empregados, carga horária e tempo de prestação dos serviços. Tal exigência constou do item 7.2.5 do edital e nada tem de ilegal. Ao contrário, além de poder ser facilmente cumprida, ela tem a finalidade de propiciar à Administração a aferição da capacitação técnica dos participantes do certame. Por isso, a sentença não pode ser mantida. - Pede sua reforma para que a segurança seja denegada. - Recurso tempestivo e respondido, a douta Procuradoria-Geral de Justiça opinou pelo provimento. - É o relatório. - O artigo 30 da Lei n. 8.666, de 1993, com as modificações que lhe foram introduzidas pela Lei n. 8.883, de 1994, na parte que interessa à matéria em discussão nos autos, tem a seguinte redação: "Artigo 30 - A documentação relativa à qualificação técnica limitar-se-á: I - ... II - Comprovação de aptidão para desempenho de atividade pertinente e compatível em características, quantidades e prazos com o objeto da licitação, e indicação das instalações e do aparelhamento e do pessoal técnico adequados e disponíveis para a realização do objeto da licitação, bem como da qualificaçã o de cada um dos membros da equipe técnica que se responsabilizará pelos trabalhos; III - ... IV - ... § 1º - A comprovação de aptidão referida no inciso II do caput deste artigo, no caso das licitações pertinentes a obras e serviços, será feita por atestados fornecidos por pessoas jurídicas de direito público ou privado, devidamente registrados nas entidades profissionais competentes, limitadas as exigências a: I - Capacitação técnico-profissional: comprovação do licitante de possuir em seu quadro permanente, na data prevista para entrega da proposta, profissional de nível superior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vedadas as exigências de quantidades mínimas ou prazos máximos; II - (Vetado) a) (Vetado) b) (Vetado) A alínea b, vetada pelo Presidente da República, dispunha justamente sobre os requisitos de capacitação técnico-operacional, para cuja comprovação seria possível, em princípio, exigir atestados em nome da empresa licitante. O motivo principal do veto foi evitar que aquela exigência acabasse por restringir desnecessariamente o universo dos licitantes. Apesar disso tudo, o item 7.2.5 do edital em questão ... exigiu, entre outros documentos para a habilitação no certame, a apresentação de "dois atestados onde a empresa tenha prestado ou esteja prestando serviços, especificando o número de empregados, a carga horária do serviço e tempo de prestação dos mesmos". - Independentemente do acerto ou desacerto do veto já referido, o fato é que se, isoladamente, ele até podia deixar aberta a possibilidade de exigência de tais atestados, essa hipótese fica afastada quando se considera que o § 5º do mesmo artigo dispõe que "é vedada a exigência de comprovação de atividade ou de ap tidão com limitações de tempo ou de época ou ainda em locais específicos, ou quaisquer outras não previstas nesta Lei, que inibam a participação na licitação". - O dispositivo proíbe, inquestionavelmente, a exigência contida no edital publicado pela apelante. Não se trata aqui de respeitar a vontade do legislador, que não vincula o intérprete e aplicador da lei. Não se trata também, de indagar se a exigência convém ou não aos fins que norteiam o procedimento licitatório. Trata-se simplesmente de aplicar o claríssimo texto legal, que não possibilita a interpretação que lhe é conferida pelo apelante. Disso não discrepa MARÇAL JUSTEN FILHO: "Como houve o veto à exigência de requisitos de capacitação técnico-operacional, somente restaram autorizadas exigências quanto à capacitação técnico-profissional. Ocorre que o § 5º exclui a possibilidade de o edital conter exigências outras, nã</w:t>
      </w:r>
    </w:p>
    <w:p/>
    <w:p>
      <w:pPr>
        <w:pStyle w:val="Heading2"/>
      </w:pPr>
      <w:r>
        <w:rPr>
          <w:b/>
          <w:bCs/>
        </w:rPr>
        <w:t xml:space="preserve">Ementa</w:t>
      </w:r>
    </w:p>
    <w:p>
      <w:r>
        <w:t xml:space="preserve">Licitação - Habilitação - Exigência de atestado em nome da empresa - Capacitação técnico-operacional - Ilegalidade - Artigo 30 da Lei n. 8.666, de 1993, com as modificações introduzidas pela Lei n. 8.883, de 1994 - Segurança concedida.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2026-10-26T02:20:31.454Z</dcterms:created>
  <dcterms:modified xsi:type="dcterms:W3CDTF">2026-10-26T02:20:31.454Z</dcterms:modified>
</cp:coreProperties>
</file>

<file path=docProps/custom.xml><?xml version="1.0" encoding="utf-8"?>
<Properties xmlns="http://schemas.openxmlformats.org/officeDocument/2006/custom-properties" xmlns:vt="http://schemas.openxmlformats.org/officeDocument/2006/docPropsVTypes"/>
</file>