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MS 11.103</w:t>
      </w:r>
    </w:p>
    <w:p/>
    <w:p>
      <w:r>
        <w:t xml:space="preserve">IMPORTAÇÃO DA ARGENTINA — COMPREENSÃO NA ISENÇÃO FISCAL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isenção fiscal para a importação de frutas da Argentina compreende a taxa de despacho aduaneiro e a taxa de previdência social. Referência: - Lei de Tarifas, artigo 66; - Lei nº 159, de 30.12.35, artigo 6º; - Dec.-Lei nº 2.878, de 18.12.40, artigo 2º, b; - Dec.-Lei nº 3.757, de 25.10.41. RMS 11.103, de 17.04.63; RMS 10.913 de 18.03.63 (D. de Just. de 24.05.63, p. 323); RMS 9.147, de 20.11.61; 9.324, de 09.07.62. Aprovada em Sessão de 13-12-1963 - pág. 78 EMFOR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2026-06-17T14:05:56.207Z</dcterms:created>
  <dcterms:modified xsi:type="dcterms:W3CDTF">2026-06-17T14:05:56.207Z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