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MS 8.831</w:t>
      </w:r>
    </w:p>
    <w:p/>
    <w:p>
      <w:r>
        <w:t xml:space="preserve">ALTERAÇÕES INTRODUZIDAS — EXIGÊNCIA POSTERIOR -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de despacho aduaneiro (artigo 66 da Lei nº 3.244, de 14.08.57) continua a ser exigível após o Dec. Legisl. nº 14, de 25.08.60, que aprovou alterações introduzidas no Acordo Geral sobre Tarifas Aduaneiras e Comércio (GATT). Referência: - Lei nº 3.244, de 14 de agosto de 1957, art. 66. - Decreto-legislativo nº 14, de 25 de agosto de 1960 RMS 8.831, de 16.08.61; RMS 8.887, de 16.08.61; RMS 9.341, de 30.05.62. V. SÚMULA Nº 131 Súmula da Jurisprudência Predominante do Supremo Tribunal Federal - Aprovada em Sessão de 13-12-1963 - pág. 77 N.R.: Taxa extinta pelo Decreto-Lei nº 37, de 18 de novembro de 1966.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2026-09-10T22:09:54.278Z</dcterms:created>
  <dcterms:modified xsi:type="dcterms:W3CDTF">2026-09-10T22:09:54.278Z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