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CONSERVAÇÃO DE ESTRADAS</w:t>
      </w:r>
    </w:p>
    <w:p>
      <w:r>
        <w:rPr>
          <w:i/>
          <w:iCs/>
          <w:color w:val="666666"/>
        </w:rPr>
        <w:t xml:space="preserve">COBRANÇA PELO MUNICÍPIO</w:t>
      </w:r>
    </w:p>
    <w:p/>
    <w:p>
      <w:r>
        <w:rPr>
          <w:b/>
          <w:bCs/>
        </w:rPr>
        <w:t xml:space="preserve">Recurso: </w:t>
      </w:r>
      <w:r>
        <w:t xml:space="preserve">re 1988</w:t>
      </w:r>
    </w:p>
    <w:p/>
    <w:p>
      <w:r>
        <w:t xml:space="preserve">CONDIÇÕES DE SUA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Anotou muito bem o Dr. Promotor de Justiça: "Ora, no caso das "boites e similares", inegável que o ingresso pago para se ter acesso ao respectivo ambiente importa desde logo na óbvia compreensão de oferta de uma diversão onde a tônica reside exatamente, dentre outros tópicos, no fornecimento de música". - A atividade da embargante, inegavelmente, está enquadrada como "diversão pública", fornecendo música ao público, que paga o serviço. Assim, é devido o ISS. - Também não assiste razão à embargante quanto à taxa de localização. A propósito, decidiu o Excelso Pretório em acórdão relatado pelo Ministro ALFREDO BUZAID (RTJ 107/277): "Pode o Município cobrar taxa de licença de localização, porque o seu fato gerador se origina do poder de polícia e está dentro da competência definida no art. 15, II, da Constituição, desde que o fato gerador, para base de cálculo, não conflita com outro sobre o qual incide o imposto". Ac. de 08-03-1988 Jurisprudência Catarinense - 1º Trimestre 1988 - Vol. 59 - Pág. 107 EMFOR 494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"Pode o município cobrar taxa de licença de localização, porque o seu fato gerador se origina do poder de polícia e está dentro da competência definida no art. 15, II, da Constituição da República. Tal taxa de licença não fere o preceito constitucional do art. 18, parágrafo 2º, da Constituição, desde que o fato gerador, para base de cálculo, não conflite com outro sobre o qual incide o imposto" (RTJ 107/277).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2026-10-26T03:27:46.750Z</dcterms:created>
  <dcterms:modified xsi:type="dcterms:W3CDTF">2026-10-26T03:27:46.750Z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