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Apelação Cível 239.171.1/1</w:t>
      </w:r>
    </w:p>
    <w:p>
      <w:r>
        <w:rPr>
          <w:b/>
          <w:bCs/>
        </w:rPr>
        <w:t xml:space="preserve">Relator: </w:t>
      </w:r>
      <w:r>
        <w:t xml:space="preserve">WALTER THEODÓSIO</w:t>
      </w:r>
    </w:p>
    <w:p/>
    <w:p>
      <w:r>
        <w:t xml:space="preserve">CONTRATAÇÃO DE ADVOGADO — DISPENSA - ENTENDIMENTO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é parte legítima, pois a Constituição Federal lhe dá o exercício da ação civil pública para a proteção do patrimônio público (artigo 129, inciso III), cujo conceito abrange tudo aquilo que pertence à Administração e aos administrados, como bem explanado na r. sentença (fls. ...), incluídas as coisas imateriais e os valores morais. - Além disso, os artigos 16 e 17 da Lei nº 8.429/92 não deixam dúvidas quanto à titularidade do Ministério Público para as demandas que visam a garantir a probidade administrativa. - Também é parte legítima o advogado contratado, pois participou do ato cuja nulidade se pretende, devendo se sujeitar aos efeitos da coisa julgada que se operar neste processo. Executou o serviço e recebeu os honorários, devendo responder por sua devolução, em caso de acolhimento do pedido inicial. - Evidente o litisconsórcio necessário, declarado pela MM. Juíza a quo, com fundamento no artigo 47 do Código de Processo Civil. - No mérito, contudo, a improcedência é manifesta. - Esta Oitava Câmara, em julgado trazido por cópia pelo apelante, referente à Apelação Cível nº 239.171.1/1, em que foi Relator WALTER THEODÓSIO, já decidiu em hipótese análoga o quanto segue: "Assinale-se que o contrato dos serviços de advogado guarda sempre o signo 'intuitu personae' em face da necessária confiança no profissional e scolhido. Por isso mesmo, ainda que em outras situações, há entendimento que leva à dispensa de licitação, na respectiva contratação. A qualidade do desempenho, mercê da pessoa do contratado, é fator preponderante da pertinente escolha. É inerente à Administração Pública certo toque de liberdade na gerência dos negócios públicos, descabendo ao Judiciário imiscuir-se nos detalhes dessa atividade, sob pena de tolher-se o trabalho do Administrador" (fls. ...). - É certo que o julgado envolvia fato ocorrido antes da Lei nº 8.429/92 que, no afã de proteger a moralidade administrativa, passou a permitir o exame da adequação do ato não só à lei, mas também à moral e ao interesse coletivo. - A respeito, ponderam MARINO PAZZAGLINI FILHO, MÁRCIO FERNANDO ELIAS ROSA e WALDO FAZZIO JÚNlOR, em sua obra Improbidade Administrativa, Aspectos Jurídicos da Defesa do Patrimônio Público, o seguinte: "Porém, se o controle jurisdicional se restringe ao exame da legalidade do ato administrativo, entenda-se por legalidade não só a conformação do ato com a lei, como também com a moral administrativa e com o interesse coletivo" (ob. cit., 2ª edição Atlas revista e ampliada, página 20). - Todavia, a contratação em análise não se fez com ofensa à lei, à moral e ao interesse público. - A licitação era perfeitamente dispensável, pois se tratava de serviço singular, a ser desempenhado por profissional de notória especialização. A questão tributária era mesmo corriqueira, mas a suspensão de uma liminar a ser pleiteada no Tribunal de Justiça, situado na capital, em caráter de urgência e no período do recesso natalino (foi obtida em 29.12.1995) não era trabalho usual para ser entregue aos procuradores do município de Santa Bárbara d'Oeste, mesmo sem desmerecer sua capacidade profissional. - Por sinal, não consta que representassem também o DAE, autarquia com personalidade jurídica própria e maior interessada nos rec ursos advindos da contribuição de melhoria, para arcar com o custo das obras dos reservatórios de água. - Além da urgência não permitir estudos prévios sobre a pessoa do advogado a ser contratado, tratando-se de vínculo contratual a ser estabelecido pelo critério da confiança, não eram mesmo necessárias as providências preliminares reclamadas na r. sentença. - Em v. aresto, também trazido por cópia pelo apelante, já decidiu o Supremo Tribunal Federal pela "dispensa de licitação, tendo em vista a natureza do trabalho a ser prestado" (R.T.J. 162/1.011, fls. 679/682). - A jurisprudência deste Tribunal de Justiça também vem entendendo ser dispensável a licitação para contratações da espécie da presente, como demonstram as cópias dos v. acórdãos nas Apelações nºs 268.063-1/6 e 005.143-5/7-00 (fls. ...). - Em suma, não há qualquer vício de legalidade ou moralidade tornando nula a contratação, impondo-se portanto a reforma da r. sentença. - No entanto, a apelação do contratado não merece integral provimento, porque contém insistência na aplicação da pena de litigância de má-fé ao autor. - Considerou o apelante em sua contestação que 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contratado é parte legítima passiva, uma vez que participou do ato e recebeu pagamento pelo serviço, sendo obrigatoriamente atingido pela coisa julgada. Serviço singular justifica a contratação de profissional de notória especialização pelo critério da confiança, não se mostrando apropriada, nem legalmente exigível, a licitação. Improbidade não configurada, considerada também a moral administrativa e o interesse público. Pretensão que não pode ser considerada temerária, não evidenciando espírito de emulação por parte do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2026-07-28T04:09:00.509Z</dcterms:created>
  <dcterms:modified xsi:type="dcterms:W3CDTF">2026-07-28T04:09:00.509Z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