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Recurso: </w:t>
      </w:r>
      <w:r>
        <w:t xml:space="preserve">RE 69.697</w:t>
      </w:r>
    </w:p>
    <w:p/>
    <w:p>
      <w:r>
        <w:t xml:space="preserve">04. ORGANIZAÇÃO DOS SERVIÇOS E OUTROS ASPECTOS INSTITUCIONAIS, NOS TERMOS DA EMENDA CONSTITUCIONAL Nº 8 DE 1995 — DISPÕE SOBRE</w:t>
      </w:r>
    </w:p>
    <w:p/>
    <w:p>
      <w:pPr>
        <w:pStyle w:val="Heading2"/>
      </w:pPr>
      <w:r>
        <w:rPr>
          <w:b/>
          <w:bCs/>
        </w:rPr>
        <w:t xml:space="preserve">Ementa</w:t>
      </w:r>
    </w:p>
    <w:p>
      <w:r>
        <w:t xml:space="preserve">CAPÍTULO III Da Órbita e dos Satélites Art. 170. A Agência disporá sobre os requisitos e critérios específicos para execução de serviço de telecomunicações que utilize, satélite geoestacionário ou não, independentemente de o acesso a ele ocorrer a partir do território nacional ou do exterior. Art. 171. Para a execução de serviço de telecomunicações via satélite regulado por esta Lei, deverá ser dada preferência ao emprego de satélite brasileiro, quando este propiciar condições equivalentes às de terceiros. § 1º O emprego de satélite estrangeiro somente será admitido quando sua contratação for feita com empresa constituída segundo as leis brasileiras e com sede e administração no País, na condição de representante legal do operador estrangeiro. § 2º Satélite brasileiro é o que utiliza recursos de órbita e espectro radioelétrico notificados pelo País, ou a ele distribuídos ou consignados, e cuja estação de controle e monitoração seja instalada no território brasileiro. Art. 172. O direito de exploração de satélite brasileiro para transporte de sinais de telecomunicações assegura a ocupação da órbita e o uso das radiofreqüências destinadas ao controle e monitoração do satélite e à telecomunicação via satélite, por prazo de até quinze anos, podendo esse prazo ser prorrogado, uma única vez, nos termos da regulamentação. § 1º Imediatamente após um pedido para exploração de satélite que implique utilização de novos recursos de órbita ou espectro, a Agência avaliará as informações e, considerando-as em conformidade com a regulamentação, encaminhará à União Internacional de Telecomunicações a correspondente notificação, sem que isso caracterize compromisso de outorga ao requerente. § 2º Se inexigível a licitação, conforme disposto nos arts. 91 e 92 desta Lei, o direito de exploração será conferido mediante processo administrativo estabelecido pela Agência. § 3º Havendo necessidade de licitaç ão, observar-se-á o procedimento estabelecido nos arts. 88 a 90 desta Lei, aplicando-se, no que couber, o disposto neste artigo. § 4º O direito será conferido a título oneroso, podendo o pagamento, conforme dispuser a Agência, fazer-se na forma de quantia certa, em uma ou várias parcelas, bem como de parcelas anuais ou, complementarmente, de cessão de capacidade, conforme dispuser a regulamentação. TÍTULO VI DAS SANÇÕES CAPíTULO I Das Sanções Administrativas Art. 173. A infração desta Lei ou das demais normas aplicáveis, bem como a inobservância dos deveres decorrentes dos contratos de concessão ou dos atos de permissão, autorização de serviço ou autorização de uso de radiofreqüência, sujeitará os infratores às seguintes sanções, aplicáveis pela Agência, sem prejuízo das de natureza civil e penal: I - advertência; II - multa; III - suspensão temporária; IV - caducidade; V - declaração de inidoneidade. Art. 174. Toda acusação será circunstanciada, permanecendo em sigilo até sua completa apuração. Art. 175. Nenhuma sanção será aplicada sem a oportunidade de prévia e ampla defesa. Parágrafo único. Apenas medidas cautelares urgentes poderão ser tomadas antes da defesa. Art. 176. Na aplicação de sanções, serão considerados a natureza e a gravidade da infração, os danos dela resultantes para o serviço e para os usuários, a vantagem auferida pelo infrator, as circunstâncias agravantes, os antecedentes do infrator e a reincidência específica. Parágrafo único. Entende-se por reincidência específica a repetição de falta de igual natureza após o recebimento de notificação anterior. Art. 177. Nas infrações praticadas por pessoa jurídica, também serão punidos com a sanção de multa seus administradores ou controladores, quando tiverem agido de má-fé. Art. 178. A existência de sanção anterior será considerada como agravante na aplicação de outra sanção. Art. 179. A multa poderá ser imposta isoladamente ou em conjunto com outra sanção, não devendo ser superior a R$50.000.000,00 (cinqüenta milhões de reais) para cada infração cometida. § 1º Na aplicação de multa serão considerados a condição econômica do infrator e o princípio da proporcionalidade entre a gravidade da falta e a intensidade da sanção. § 2º A imposição, a prestadora de serviço de telecomunicações, de multa decorrente de infração da ordem econômica, observará os limites previstos na legislação específica. Art. 180. A suspensão temporária será imposta, em relação à autorização de serviço ou de uso de radiofreqüência, em caso de infração grave cujas circunstâncias não justifiquem a decretação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2026-06-17T14:05:02.745Z</dcterms:created>
  <dcterms:modified xsi:type="dcterms:W3CDTF">2026-06-17T14:05:02.745Z</dcterms:modified>
</cp:coreProperties>
</file>

<file path=docProps/custom.xml><?xml version="1.0" encoding="utf-8"?>
<Properties xmlns="http://schemas.openxmlformats.org/officeDocument/2006/custom-properties" xmlns:vt="http://schemas.openxmlformats.org/officeDocument/2006/docPropsVTypes"/>
</file>