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Mandado de Segurança 5.939</w:t>
      </w:r>
    </w:p>
    <w:p/>
    <w:p>
      <w:r>
        <w:t xml:space="preserve">MOTIVO DE ATRASO NO PAGAMENTO DA TARIFA — SE É ADMISSÍVEL FAZÊ-LO POR PORTARIA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outra oportunidade, este Tribunal julgando caso semelhante, denegou a segurança, alegando ser enriquecimento ilícito. Cita-se: "Telefone - Falência do assinante - Desligamento das linhas - Apossamento dos terminais pela concessionária - Enriquecimento ilícito (Mandado de Segurança nº 5.939 - Primeira Câmara Cível)". - É verdadeiramente inadmissível que a ... TELEMIG, através de suas portarias ministeriais, se sobreponha à Lei de Falências, que determina a habilitação dos credores. É por demais abusivo que o não-pagamento por noventa dias, da conta telefônica dê direito a esta concessionária de cancelar a assinatura. É desproporcional, até provar ao contrário, que o não pagamento de apenas três contas justifique a apropriação da linha. É no mínimo abusiva esta portaria ministerial, que favorece o enriquecimento ilícito. - Os casos, pelo visto, estão sempre se repetindo, sendo que, quando os arrematantes se dirigem à TELEMIG para fazer a transferência do bem adquirido em leilão são surpreendidos com o cancelamento das linhas, sem ao menos se dar ao trabalho de fazer a comunicação ao proprietário, ou ao Juízo, no caso de falência ou concordata. - Assim, diante do exposto, denego a segurança, cassando a liminar concedida. Ac. de 13-08-1992 Jurisprudência Mineira - Julho a Setembro de 1992 - Vol. 119 - Ano 43 - Pág. 80.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que portarias ministeriais se sobreponham à Lei de Falências, que determina a habilitação de credores. É por demais abusivo que o não-pagamento, por noventa dias, da conta telefônica, de direito à concessionária de cancelar a assinatura, sem ao menos se dar ao trabalho de fazer comunicação ao proprietário, ou ao Juízo no caso de falência ou concordata.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2026-06-17T14:01:48.051Z</dcterms:created>
  <dcterms:modified xsi:type="dcterms:W3CDTF">2026-06-17T14:01:48.051Z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