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Julgado em: </w:t>
      </w:r>
      <w:r>
        <w:t xml:space="preserve">18/11/1985</w:t>
      </w:r>
    </w:p>
    <w:p/>
    <w:p>
      <w:r>
        <w:t xml:space="preserve">ASCENDENTES, DESCENDENTES, IRMÃOS E CÔNJUGE — CARÊNCIA DE LEGITIMIDADE</w:t>
      </w:r>
    </w:p>
    <w:p/>
    <w:p>
      <w:pPr>
        <w:pStyle w:val="Heading2"/>
      </w:pPr>
      <w:r>
        <w:rPr>
          <w:b/>
          <w:bCs/>
        </w:rPr>
        <w:t xml:space="preserve">Resumo</w:t>
      </w:r>
    </w:p>
    <w:p>
      <w:r>
        <w:t xml:space="preserve">- Desenganadamente a Lei exige cinco testemunhas instrumentárias para o testamento público (CC, 1.632, I), número inobservado neste, eis que uma daquelas cinco pessoas é pai do herdeiro instituído, e assim impedida de testemunhar tal categoria de ato jurídicos (CC, 1.650, IV). - "De lege ferenda" assiste razão ao agravante, eis que testamentos particulares apresentam-se despidos de maiores solenidades, enquanto para o testamento público que por sua estrutura tem de ser feito perante o oficial público, para ele, a Lei exige cinco testemunhas instrumentárias. Todavia, é este o mandamento legal, com o qual o Direito procurara salvaguardar a veracidade do testamento e a liberdade de testar, compreendendo-se que estigmatize com ilegitimidade testemunhal o pai do beneficiário, que, como outros parentes próximos seus, poderia captar a vontade do testador numa certa direção. Julgado em 19-11-1985 Arquivo do EMFOR, TJ/1.445 EMFOR 452</w:t>
      </w:r>
    </w:p>
    <w:p/>
    <w:p>
      <w:pPr>
        <w:pStyle w:val="Heading2"/>
      </w:pPr>
      <w:r>
        <w:rPr>
          <w:b/>
          <w:bCs/>
        </w:rPr>
        <w:t xml:space="preserve">Ementa</w:t>
      </w:r>
    </w:p>
    <w:p>
      <w:r>
        <w:t xml:space="preserve">O pai, da mesma forma que os demais ascendentes, descendentes, irmãos e cônjuges, carecem de legitimidade para testemunhar no instrumento testamentário (Cód. Civil, 1.650, IV), razão porque não se computa como tal no número mínimo de presenciantes, exigido por lei (Código Civil, 1.632,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2026-07-28T03:30:52.626Z</dcterms:created>
  <dcterms:modified xsi:type="dcterms:W3CDTF">2026-07-28T03:30:52.626Z</dcterms:modified>
</cp:coreProperties>
</file>

<file path=docProps/custom.xml><?xml version="1.0" encoding="utf-8"?>
<Properties xmlns="http://schemas.openxmlformats.org/officeDocument/2006/custom-properties" xmlns:vt="http://schemas.openxmlformats.org/officeDocument/2006/docPropsVTypes"/>
</file>