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EMPRESAS DE CRÉDITO E INVESTIMENTO</w:t>
      </w:r>
    </w:p>
    <w:p>
      <w:r>
        <w:rPr>
          <w:i/>
          <w:iCs/>
          <w:color w:val="666666"/>
        </w:rPr>
        <w:t xml:space="preserve">NATUREZA ECONÔMICA E JURÍDICA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10/11/1986</w:t>
      </w:r>
    </w:p>
    <w:p/>
    <w:p>
      <w:r>
        <w:t xml:space="preserve">CASO DE NÃO EXTRAVIO MAS DE FALTA DE PAGAMENTO — QUANDO NÃO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a apreciação preliminar da Oposição e, esta procede às inteiras. - Com efeito, a opoente é terceira de boa-fé e obteve a posse dos títulos que relaciona, regularmente, não se justificando a pretensão da oposta de que os títulos têm sido pagos pelo réu da ação principal com cheques, de natureza &lt;&lt;pro-solvendo&gt;&gt;. - De efeito, os cheques consubstanciam títulos de ordem de pagamento à vista e, como tal, exaure-se a obrigação de pagamento com a entrega destes, restando ao credor as componentes ações criminais e cíveis quando os mesmos não são honrados. - Nesta mesma linha naufraga o argumento do injusto desapossamento dos títulos, a não ser que se queira dar o elastério de injusto ao mau negócio. - Neste ponto a apreciação do mérito da ação de anulação se impõe. - A Lei dá legitimidade para propositura de tal ação, a quem haja perdido títulos ou, deles seja injustamente desapossado. - A doutrina têm ensinado que este injusto desapossamento implica na ausência de atividade do portador na transferência do título. - Veja-se a respeito em comentários ao Código de Processo Civil de ERNANE FIDÉLIS DOS SANTOS, Forense 1ª Edição, pág. 75: &lt;&lt;daí estar o terceiro de boa-fé protegido quando o desapossamento do título se deu em razão de desapropriação indébita, erro, estelionato etc...&gt;&gt;. - É o caso específico deste processo. - A autora vendeu os títulos em questão, fez a entrega das cautelas respectivas ao adquirente e, como refere na sua contestação a oposição, recebeu deste o pagamento em cheques, que se revelaram, posteriormente, com insuficiência de fundos. - Têm-se, à evidência, um problema de natureza cambiária, decorrente da imissão dos cheques sem provisão, mas, nada que maculasse a circulação dos mesmos, vendidos e entregues pela autora. - Nestas circunstâncias carece a autora do direito de anulação a substituição dos títulos ao portador. Julgado em 11-11-1986 Arquivo do EMFOR, TJ/1.526 EMFOR 467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cabe a ação de anulação e substituição de títulos ao portador quando não ocorreu desaparecimento ou extravio dos títulos, e sim falta de pagamento, quando da alienação. - A hipótese não é de extravio, mas de recebimento de cheque sem fundos, que só pode ser objeto de composição através de ação de perdas e danos contra o autor da fraude, não contra terceiros de boa fé.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2026-07-28T01:55:01.719Z</dcterms:created>
  <dcterms:modified xsi:type="dcterms:W3CDTF">2026-07-28T01:55:01.719Z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