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apelação cível 14.975</w:t>
      </w:r>
    </w:p>
    <w:p/>
    <w:p>
      <w:r>
        <w:t xml:space="preserve">EMISSÃO PARA SAQUE POSTERIOR — SE O DESNATURA PARA FINS EXECUTÓRIOS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provas que o apelante pretendia produzir, para demonstrar que se tratavam de cheques pré-datados, eram inteiramente desnecessárias porque o cheque pré-datado não fica descaracterizado como ordem de pagamento. - É o que se infere claramente do artigo 28 da Lei Uniforme sobre cheques, Decreto nº 57.595, de 7 de janeiro de 1966, que assim estabelece: - "O cheque é pagável à vista. Considera-se como não escrita qualquer menção em contrário. O cheque apresentado a pagamento antes do dia indicado como data da emissão é pagável no dia da apresentação". - Assim, ainda que o cheque tenha sido emitido para saque posterior, é pagável à vista, da data da sua apresentação. - Nesse sentido, a jurisprudência é uniforme, inclusive desta Egrégia Corte, como se vê do julgado proferido na apelação cível nº 14.975, da comarca da Capital, cuja ementa é a seguinte: "Embargos do devedor. Cheque emitido para saque posterior. Provisão futura. Fato que não o desnatura para fins executivos" ("in" "Jurisprudência Catarinense", vol 27, pág. 211). - O mesmo entendimento foi adotado pelos acórdão proferidos na apelação cível nº 16.349, da comarca de Lages (JC, vol. 32, pág. 105) e na apelação cível nº 18.681, da comarca de Timbó (JC, vol. 48, pág. 279). - Consequentemente, nega-se provimento ao recurso. Ac. de 26-11-1985 Jurisprudência Catarinense, 1986 - Vol. 51 - Pág. 55.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do cheque para saque posterior não o desnatura para fins executórios.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2026-07-28T00:38:44.311Z</dcterms:created>
  <dcterms:modified xsi:type="dcterms:W3CDTF">2026-07-28T00:38:44.311Z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