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11/03/1987</w:t>
      </w:r>
    </w:p>
    <w:p/>
    <w:p>
      <w:r>
        <w:t xml:space="preserve">QUANDO SE LEGITIMA SEM PERDA DE SUA CARACTERÍSTICA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HUMBERTO THEODORO JÚNIOR, citado pelo recorrente, ao comentar o Cód. de Proc. Civil, doutrina verbis: &lt;&lt;Mesmo quando os embargos do devedor são procedentes, para o fim de excluir parcela indevida do montante exequendo, se essa parcela puder ser perfeitamente individualizada, o remanescente do título executivo não perde sua liquidez.&gt;&gt; (...) &lt;&lt;a liquidez de um título não se enevoa tão somente porque o quantum deve sofrer uma subtração aritmética, de importância também líquida, certa e induvidosa. - O título sujeito a incidência de uma elementar operação de diminuição de parcela determinada mostra, de imediato, o quantum debeatur resultante&gt;. (Ed. Forense, v. IV, p. 181). - O pagamento parcial tanto é possível que até nos títulos de créditos, como a letra de câmbio e a nota promissória, ao aceitante permite-se saldar parte da soma cambial, anotando-se no título ou em documento separado a menção especial do pagamento sem que desapareça a característica do título (cf. FRA MARTINS, Título de crédito, 3ª ed., v. I, págs. 254/255). - Na hipótese vertente o contrato estabelece o parcelamento, ao exarar a expressão &lt;&lt;Pagamentos mediante recibos&gt;&gt;. - No concernente ao argumento dos embargantes-apelados de que o serviço não fora concluído por culpa do embargado-apelante, competia àqueles fazer a prova do fato, já que este fora negado e porque os embargos são contra-ação, como o é a reconvenção. - Demais, o contrato prevê a assistência do apelante na separação consensual dos recorridos, sem prejuízo de os cônjuges desistirem da separação ou se reconcil iarem (cláusula 1ª). - Ora, ocorrendo a primeira audiência e marcada data para ratificação o casal apelado não retornou, sendo arquivado o processo (autos principais). - Assim, se os recorridos agora, vêm a Juízo e juntos defendem-se contra a execução forçada, inclusive, ainda, na qualidade de casados, segundo ressai da exordial e da procuração, é sinal evidente não só de que desistiram da separação como se reconciliaram. - E por isso incide a cláusula suso. Julgado em 12-03-1987 Arquivo do EMFOR, TA/793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é permitido ao aceitante de título de crédito, como a letra de câmbio e a nota promissória, saldar parte da soma cambial, anotando-se no título ou em documento separado a menção especial do pagamento, com maior razão se permitirá no aludido contrato. - Feito o abatimento a execução tem lugar pelo crédito remanescente.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2026-07-27T23:53:57.024Z</dcterms:created>
  <dcterms:modified xsi:type="dcterms:W3CDTF">2026-07-27T23:53:57.024Z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