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Recurso: </w:t>
      </w:r>
      <w:r>
        <w:t xml:space="preserve">REsp 18.972</w:t>
      </w:r>
    </w:p>
    <w:p/>
    <w:p>
      <w:r>
        <w:t xml:space="preserve">SE É ESSENCIAL PARA O RECONHECIMENTO DO DIREITO A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do direito a indenização, por falta de mercadoria transportada via marítima, independe de vistoria. Referência: Decreto nº 64.387, de 22-4-1969, art. 1º, parágrafo 3º, que regulamentou o Decreto-Lei nº 116, de 25-1-1967. REsp 18.972 - RJ (3ª T. 16-12-1992 - DJ 01-03-1993). REsp 35.598 - RS (3ª T. 07-12-1993 - DJ 14-03-1994). REsp 35.474 - RJ (3ª T. 13-12-1993 - DJ 07-03-1994). REsp 46.785 - RS (3ª T. 25-04-1994 - DJ 20-06-1994). REsp 5.586 - RS (4ª T. 04-06-1991 - DJ 05-08-1991). REsp 39.469 - RS (4ª T. 15-03-1994 - DJ 18-04-1994). Segunda Seção, em 28-9-1994 DJ 5-10-1994, pág. 26.557 EMFOR - Nº 551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2026-10-26T04:15:34.826Z</dcterms:created>
  <dcterms:modified xsi:type="dcterms:W3CDTF">2026-10-26T04:15:34.826Z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