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UNIFORMIZAÇÃO DE JURISPRUDÊNCIA</w:t>
      </w:r>
    </w:p>
    <w:p>
      <w:r>
        <w:rPr>
          <w:i/>
          <w:iCs/>
          <w:color w:val="666666"/>
        </w:rPr>
        <w:t xml:space="preserve">PROCESSAMENTO</w:t>
      </w:r>
    </w:p>
    <w:p/>
    <w:p/>
    <w:p>
      <w:r>
        <w:t xml:space="preserve">CONSTITUIÇÃO FEDERAL — § 3º DO ART. 226 - REGULAMENTA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9.278, DE 10 DE MAIO DE 1996 Regula o § 3º do art. 226 da Constituição Federal. O PRESIDENTE DA REPÚBLICA Faço saber que o Congresso Nacional decreta e eu sanciono a seguinte Lei: Art. 1º É reconhecida como entidade familiar a convivência duradoura, pública e continua de um homem e uma mulher, estabelecida com objetivo de constituição de família. Art. 2º São direitos e deveres iguais dos conviventes: I - respeito e consideração mútuos; II - assistência moral e material recíproca; III - guarda, sustento e educação dos filhos comuns. Art. 3º (VETADO) Art. 4º (VETADO) Art. 5º Os bens móveis e imóveis adquiridos por um ou por ambos os conviventes, na constância da união estável e a título oneroso, são consideradas fruto do trabalho e da colaboração comum, passando a pertencer a ambos, em condomínio e em partes iguais, salvo estipulação contrária em contrato escrito. § 1º Cessa a presunção do caput deste artigo se a aquisição patrimonial ocorrer com o produto de bens adquiridos anteriormente ao início da união. § 2º administração do patrimônio comum dos conviventes compete a ambos, salvo estipulação contrária em contrato escrito. Art. 6º (VETADO) Art. 7º Dissolvida a união estável por rescisão, a assistência material prevista nesta Lei será prestada por um dos conviventes ao que dela necessitar, a título de alimentos. Parágrafo único. Dissolvida a união estável por morte de um dos conviventes, o sobrevivente terá direito real de habitação, enquanto viver ou não constituir nova união ou casamento, relativamente ao imóvel destinado à residência da família. Art. 8º Os conviventes poderão, de comum acordo e a qualquer tempo, requerer a conversão da união estável em casamento, por requerimento ao Oficial do Registro Civil da Circunscrição de seu domicílio. Art. 9º Toda a matéria relativa à união estável é de competência do juízo da Vara de Família, assegurado o segredo de justiça. Art. 10. Esta Lei entra em vigor na data de sua publicação. Art. 11 Revogam-se as disposições em contrário. Brasília, 10 de maio de 1996; 175º da Independência e 108º da República. FERNANDO HENRIQUE CARDOSO Milton Seligman ALTERAÇÕES NT Atualizada 10/97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2026-07-28T04:09:39.496Z</dcterms:created>
  <dcterms:modified xsi:type="dcterms:W3CDTF">2026-07-28T04:09:39.496Z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