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UNIFORMIZAÇÃO DE JURISPRUDÊNCIA</w:t>
      </w:r>
    </w:p>
    <w:p>
      <w:r>
        <w:rPr>
          <w:i/>
          <w:iCs/>
          <w:color w:val="666666"/>
        </w:rPr>
        <w:t xml:space="preserve">PROCESSAMENTO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28/10/1985</w:t>
      </w:r>
    </w:p>
    <w:p/>
    <w:p>
      <w:r>
        <w:t xml:space="preserve">NÃO INVOCAÇÃO NESTA DA PRESCRIÇÃO AQUISITIVA — SE FRUSTRA A AÇÃO DE USUCAPIÃO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incontroverso que, em ação de divisão anteriormente intentada, os recorrentes não alegaram o usucapião como matéria de defesa. - Findo aquele processo, estima o acórdão em exame que o tema da prescrição aquisitiva não pode animar a ação de usucapião eis que coberto pela coisa julgada. - Correto, entretanto, não é esse entendimento que ora se submete à crítica extraordinária, mas o que ficou expresso no parecer da Procuradoria Geral da República. - Não há, no desfecho da demanda divisória, o que necessariamente previna a superveniência da ação de usucapião. - Somente cabe invocar a coisa julgada na hipótese de que o preciso tema de usucapião tenha sido abordado o deslindado no feito precedente. - Têm razão os recorrentes quando dizem do equívoco em que incidiram as instâncias ordinárias ao invocar as lições de HUMBERTO THEODORO JÚNIOR. - Em sua obra Terras Particulares, o notável jurista dá início a certo capítulo - Intitulado «Oposição do usucapião à pretensão divisória ou demarcatória» - com este comentário: «Já houve quem ensinasse que, do processo, até mesmo na segunda instância.» (HTJ Terras Particulares, S. Paulo, LEUD, 1981, PÁG. 104). - Adiante, e ainda a propósito da questão de quando invocar o usucapião dentro do feito divisório, esclarece o autor: «(...) se o usucapião não é invocado na resposta ao pedido divisório, ocorre preclusão em torno do assunto, e no curso do feito não mais será lícito ao prescribente cogitar dele, pois importaria inovar o tema da "litis contestatio", o que é terminantemente vedado pela sistemática do nosso direito processual.» (Idem, págs. 104/105). - Contudo, a exata questão jurídica que anima a presente controvérsia encontra sede no parágrafo final desse capítulo, onde se lê: «Não perde, outrossim, o usucapiente, mesmo quando parte do processo de divisão, o direito de se valer da ação principal de usucapião (Cód. Proc. Civ., art. 941), se a matéria da prescrição aquisitiva não foi discutida e solucionada na primeira fase do juízo divisório, já que inexistirá "res iudicata" sobre a questão. - Conheço do recurso extraordinário, nos termos da proposição do Ministério Público. - Dou-lhe provimento para que, afastado o argumento da carência da ação - visto que inocorrente a coisa julgada - , o feito siga seu curso no juízo de origem. Julgado em 29-10-1985 Revista Trimestral de Jurisprudência. Vol. 118 - Pág. 289. EMFOR 465 EMENTA: - O fato de o possuidor reconhecer a existência de um titular da propriedade, junto ao qual pretendera regularizar o domínio, não significa que ele exerça a posse sem ânimo de dono. RESUMO DO ACÓRDÃO: "Para a aquisição do domínio, pelo usucapião, é indispensável que a posse seja: com animus domini, contínua, isto é, sem interrupção durante o tempo definido em lei, tranqüila, mansa, pacífica e incontestada. Presentes tais requisitos, não há como não reconhecê-lo ao possuidor. No caso em apreço, todos esses requisitos encontram-se presentes. A alegação da apelante de não constar dos atos translativos da posse que os cedentes a exerciam com animus domini, é de todo insubsistente. O animus domini, como é de sabença trivial, é condição subjetiva, abstrata, que não se transmite por documento escrito. É a intenção de ter a coisa como sua, que se exterioriza por atos de verdadeiro dono. Por outro lado, o fato de ter um dos antecessores dos apelados procurado o Instituto de Desenvolvimento Agrário de Goiás - IDAGO - para regularizar o domínio sobre o imóvel não afasta o animus domini, pois o poder de fato sobre a coisa, à vista de todos, não se confunde com o domínio. A exegese da apelante, neste particular, data venia, é angusta. Acolher sua tese, afastando o animus domini, seria aniquilar com o próprio instituto do usucapião que, na dicção do art. 941 do Cód. de Pr. Civil, é o procedimento próprio do possuidor para ver reconhecido seu domínio sobre um imóvel. Logo, se a posse dos apelados era exercida com a intenção de dono, legítima sua pretensão de acrescer à sua a de seus antecessores para contar o tempo exigido pelo art. 550 do Código Civil." (fls. ...) - O recurso não merece prosperar. - Não se pode reexaminar agora a questão relativa à existência ou não do ânimo de dono, matéria de fato analisada a contento nas instâncias ordinárias. - O v. acórdão partiu da premissa fáti ca de que havia, por parte dos possuidores, o propósito de possuir a gleba como sua. Esse raciocínio não pode ser eliminado pelo fato, também admitido no acórdão, de que o possuidor 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usucapião não é frustrada pela circunstância de não se ter, em ação divisória anterior, invocado como defesa a prescrição aquisitiva.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2026-07-28T04:21:05.573Z</dcterms:created>
  <dcterms:modified xsi:type="dcterms:W3CDTF">2026-07-28T04:21:05.573Z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