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>
      <w:r>
        <w:rPr>
          <w:b/>
          <w:bCs/>
        </w:rPr>
        <w:t xml:space="preserve">Julgado em: </w:t>
      </w:r>
      <w:r>
        <w:t xml:space="preserve">11/11/1996</w:t>
      </w:r>
    </w:p>
    <w:p/>
    <w:p>
      <w:r>
        <w:t xml:space="preserve">ART. 183 DA NOVA CF — PRAZO DE CINCO ANOS - CONTAGEM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ao adesivo, igualmente, pois não se mostram juridicamente convincentes os argumentos articulados pelos apelantes Domingos A. S. e outros, insistindo no reconhecimento do usucapião urbano. - E os fundamentos fixados pela r. sentença hostilizada melhor respondem aos que foram trazidos naquela apelação adesiva, ainda que se possa reconhecer o louvável esforço jurídico desenvolvido pelo procurador dos recorrentes no sentido de ver aceita a tese da prescrição aquisitiva especial. - A melhor orientação, relativamente ao tempo de início para o aperfeiçoamento do usucapião urbano, foi a adotada pelo r. decisum, baseado no entendimento de que o qüinqüídio hábil à definição da prescrição aquisitiva só pode ser computado a partir da entrada em vigor da Carta Magna vigente. Os recorrentes adesivos, pelo que se apurou, passaram a ocupar a área depois de 1986, ao passo que a Constituição atual passou a viger em outubro de 1988, sem contar o fato de que a área do terreno conflitado corresponde a 280,50m2, não se enquadrando a hipótese, em conseqüência, no limite estabelecido no art. 183 da Lei Maior (250,00 m2). - Por tais fundamentos negam provimento a ambos os recursos. Julgado em 12-11-1996 Revista dos Tribunais, Julho de 1997, vol. 741, pág. 278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qüinqüídio hábil para a definição da prescrição aquisitiva em relação ao usucapião urbano só pode ser computado a partir da entrada em vigor da CF/88, devendo ser observado também o limite estabelecido em seu art. 183, ou seja, 250 metros quadrados.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2026-10-26T07:04:14.825Z</dcterms:created>
  <dcterms:modified xsi:type="dcterms:W3CDTF">2026-10-26T07:04:14.825Z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