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UNIFORMIZAÇÃO DE JURISPRUDÊNCIA</w:t>
      </w:r>
    </w:p>
    <w:p>
      <w:r>
        <w:rPr>
          <w:i/>
          <w:iCs/>
          <w:color w:val="666666"/>
        </w:rPr>
        <w:t xml:space="preserve">PROCESSAMENTO</w:t>
      </w:r>
    </w:p>
    <w:p/>
    <w:p>
      <w:r>
        <w:rPr>
          <w:b/>
          <w:bCs/>
        </w:rPr>
        <w:t xml:space="preserve">Recurso: </w:t>
      </w:r>
      <w:r>
        <w:t xml:space="preserve">RE 47.130</w:t>
      </w:r>
    </w:p>
    <w:p>
      <w:r>
        <w:rPr>
          <w:b/>
          <w:bCs/>
        </w:rPr>
        <w:t xml:space="preserve">Julgado em: </w:t>
      </w:r>
      <w:r>
        <w:t xml:space="preserve">21/05/1984</w:t>
      </w:r>
    </w:p>
    <w:p/>
    <w:p>
      <w:r>
        <w:t xml:space="preserve">NECESSIDADE DE QUE SEJA FEITA PESSOALMENTE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mesmo sentido: "Não feita essa citação, a demanda estará irremediavelmente nula: sentença proferida em causa com esse defeito é rescindível" (LOURENÇO MÁRIO PRUNES - in Usucapião de Imóveis - pág. 263). - Estatui a lei que o dolo da parte vencedora em detrimento da vencida é motivo de se tornar rescindível a sentença. - O dolo tanto pode ser o processual (espécies do art. 17 do CPC) como o civil que constitui defeito do ato jurídico e o torna anulável nos termos do art. 92 do Código Civil Brasileiro (CPC Comentado - SÉRGIO C. FADEL, Forense, 1982, vol. II, pág. 82). - Não há dúvida, pois, que o pedido das AA., no tocante à rescisão da sentença concessiva do usucapião, é de ser deferido, ante as irregularidades havidas naquele processo. - ................................................................................................................................................... - Na forma do que dispõe o art. 21 do CPC, os honorários e as despesas devem ser recíproca e proporcionalmente distribuídos entre o litigantes. - Pelos motivos expendidos, julga-se procedente em parte, o pedido. Julgado em 22-05-1984 Jurisprudência Catarinense, 4º trim/84 - Vol. 46 - Pág. 347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possuidor deve ser citado, pessoalmente, para a ação de usucapião. Referência: - Cód. Proc. Civil, artigo 455, § 2º, e 177, I. RE 47.130, de 02.05.61; ERE 47.130, de 28.07.61; ERE 47.448, de 13.08.62; ERE 41.824, de 29.04.63 (D. de Just. de 14.11.63, p. 1.160). Aprovada em Sessão de 13-12-1963 - pág. 122 EMENTÁRIO FORENSE. Fevereiro, 1965. Ano XVII. Nº 195 EMENTA: - A citação por edital só é autorizada depois de esgotados todos os recursos a ver se é possível localizar o réu, a fim de citá-lo, por mandado ou precatória.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2026-07-28T02:23:42.820Z</dcterms:created>
  <dcterms:modified xsi:type="dcterms:W3CDTF">2026-07-28T02:23:42.820Z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