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/>
    <w:p>
      <w:r>
        <w:t xml:space="preserve">NECESSIDADE DE SUA NOMEAÇÃO AOS INTERESSADOS CERTOS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citados por edital, na ação de usucapião ordinária, cumpre dar aos interessados certos reveis, Curador especial, por expressa disposição de lei. Ac. de 18-11-1987 Arquivo do EMFOR - TJ/489 EMFOR 489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2026-10-26T01:56:20.033Z</dcterms:created>
  <dcterms:modified xsi:type="dcterms:W3CDTF">2026-10-26T01:56:20.033Z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