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Julgado em: </w:t>
      </w:r>
      <w:r>
        <w:t xml:space="preserve">11/09/1985</w:t>
      </w:r>
    </w:p>
    <w:p/>
    <w:p>
      <w:r>
        <w:t xml:space="preserve">SE PODE SER COMPLETADO NO CURSO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douta decisão não pode subsistir no que tange ao reconhecimento do usucapião... - Entendeu o MM. Juiz que apesar do referido promovente não poder somar à sua a posse de seus antecessores, por pretender usucapir o imóvel sozinho com exclusão deles e de seus respectivos herdeiros, que tinha o mencionado promovente tempo suficiente de posse "ad usucaionem", pois tendo iniciado posse própria em 1963, quando morreu o seu pai e foi feita a cessão dos direitos hereditários supracitados..., completou o tempo necessário para usucapir o imóvel no curso do processo, de modo que devendo a sentença focalizar os fatos á data da sua prolação, reconheceu consumado o usucapião. - Tal entendimento, data máxima venia, não pode prevalecer. - Quando ingressou em Juízo em agosto de 1976, B. A. não tinha mais do que 12 anos de posse própria e exclusiva do imóvel, pois até 1963 a posse do mesmo era exercida em nome dos sucessores do espólio de G.M. F., entre os quais se encontrava o seu próprio pai, J. C. M., casado com M.N., a qual, depois da morte do marido retirou-se para a cidade, deixando o filho só na posse do imóvel usucapiendo. - Esse fundamento de que se valeu o douto decisório para acolher o usucapião, como bem ponderou a Procuradoria-Geral da Justiça, não pode ser aceito. - Primeiro porque é condição "sine qua", para o ajuizamento do usucapião imemorial, que o promovente já tenha completado antes de ingressar em juízo o prazo mínimo de 20 anos, consoante exige o Código Civil, no exercício de posse exclusiva sobre o imóvel. - Ninguém pode completar esse prazo no curso do processo como erroneamente entendeu a sentença apelada, principalmente q uando a esta altura a posse dos promoventes já estava contestada e impugnada a sua legitimidade. - Ingressando em juízo sem ter já completado 20 anos de posse exclusiva e própria sobre o imóvel usucapiendo, o apelado... é carecedor da ação que intentou, por lhe faltar o requisito fundamental para obter o reconhecimento do direito invocado. - A apelação dos recorrentes fica, portanto, provida em parte. Julgado em 12-09-1985 Revista dos Tribunais. Vol. 603 - Pág. 67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Carece da ação de usucapião quem ingressa em juízo sem ter completado 20 anos de posse exclusiva e própria sobre o imóvel usucapiendo, visto faltar-lhe o requisito fundamental para obter o reconhecimento do direito invocado.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2026-10-26T04:15:16.621Z</dcterms:created>
  <dcterms:modified xsi:type="dcterms:W3CDTF">2026-10-26T04:15:16.621Z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