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/>
    <w:p>
      <w:r>
        <w:t xml:space="preserve">SE TAL CONDIÇÃO SE PRESUME POR FALTA DE TRANSCRIÇÃO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grau de jurisdição, a Douta Procuradoria Geral de Justiça emitiu parecer argüindo, preliminarmente, a nulidade ab initio do processo "por faltar-lhe um dos pressupostos essenciais, o tratar-se de terras particulares"; no que concerne ao mérito pelo improvimento do recurso. - Não procede, data venia, a preliminar argüida pela douta Procuradoria Geral de Justiça. - O fato de as terras não estarem registradas ou transcritas em nome de alguém, não significa necessariamente, que sejam devolutas. Nem há presunção que o sejam em favor do Estado. - Nesse sentido tem sido a jurisprudência: "Usucapião. Terras devolutas. O Estado está obrigado, em ação de usucapião, provar que as terras são devolutas, pois em seu benefício, não socorre a presunção. Embora não tituladas, desde que reunidos os requisitos do usucapião, a ação deve ser julgada procedente, para atribuir o domínio ao autor da ação proposta". (TJ do RJ, in Jurisprudência Brasileira, vol. 21, pág. 174). Ac. de 15-03-1990 Arquivo do EMFOR - TJ/2.092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área de terras objeto de ação de usucapião não estar transcrita, não significa, necessariamente, que sejam devolutas. Compete ao Estado provar que são devolutas, pois, em seu benefício não ocorre a presunção.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2026-09-10T22:10:26.717Z</dcterms:created>
  <dcterms:modified xsi:type="dcterms:W3CDTF">2026-09-10T22:10:26.717Z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