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USUCAPIÃO ESPECIAL</w:t>
      </w:r>
    </w:p>
    <w:p>
      <w:r>
        <w:rPr>
          <w:i/>
          <w:iCs/>
          <w:color w:val="666666"/>
        </w:rPr>
        <w:t xml:space="preserve">DECRETO 87.620 DE 21-09-1982</w:t>
      </w:r>
    </w:p>
    <w:p/>
    <w:p>
      <w:r>
        <w:rPr>
          <w:b/>
          <w:bCs/>
        </w:rPr>
        <w:t xml:space="preserve">Recurso: </w:t>
      </w:r>
      <w:r>
        <w:t xml:space="preserve">Agravo de Instrumento 47.475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COSTA LEITE</w:t>
      </w:r>
    </w:p>
    <w:p/>
    <w:p>
      <w:r>
        <w:t xml:space="preserve">PRESENÇA DESTA OU DE QUALQUER DE SEUS ENTES — SE AFASTA A COMPETÊNCIA DO FORO DA SITUAÇÃO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de usucapião especial será processada e julgada no fórum, rei sito e, consoante reza o art. 4º da Lei nº 6.969, de 1981, ainda que haja interesse de órgão federal (cfr. parágrafo 1º do citado art. 4º). - Trata-se, como se vê, de uma exceção à regra geral de que aos Juízes Federais compete processar e julgar, em primeira instância, as causas em que a União, entidade autárquica ou empresa pública federal forem interessados na condição de autoras, rés, assistente ou opoentes. O permissivo encontrava-se no art. 126 da Constituição Federal de 1967, cujo alcance vem reproduzido na parte final do art. 109, parágrafo 3º da vigente (Carta Política. No sentido enunciado orientava-se, por sinal, a jurisprudência do Eg. Tribunal Federal de Recursos (Revista do TFR 126/437, Relator Ministro COSTA LEITE, e 121/31, Relator Ministro CARLOS MADEIRA: Agravo de Instrumento nº 47.475 - MG, Relator Ministro NILSON NAVES, DJ de 10-4-86, e Conflito de Competência nº 6.934 - RJ, Relator Ministro FLÁQUER SACARTEZZINI, DJ de 2-10-86. - Pelo exposto, conheço do conflito e declaro competente o MM. Juiz de Direito da 2ª Vara Cível da Comarca de São José dos Pinhais. Ac. de 28-06-1989 Rev. Sup. Tribunal de Justiça - Dezembro de 1990 - Vol. 16 - Pág. 297. N. da Red.: A presença da União ou de qualquer de seus entes, na Ação Usucapião especial, não afasta a competência do foro da situação do imóvel ("Súmula 11 (*) do STJ - EMFOR", Nº 506).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ações de usucapião especial, em quaisquer circunstâncias, devem ser promovidas na comarca da situação do imóvel.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2026-10-26T01:59:59.104Z</dcterms:created>
  <dcterms:modified xsi:type="dcterms:W3CDTF">2026-10-26T01:59:59.104Z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