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USUCAPIÃO ESPECIAL</w:t>
      </w:r>
    </w:p>
    <w:p>
      <w:r>
        <w:rPr>
          <w:i/>
          <w:iCs/>
          <w:color w:val="666666"/>
        </w:rPr>
        <w:t xml:space="preserve">DECRETO 87.620 DE 21-09-1982</w:t>
      </w:r>
    </w:p>
    <w:p/>
    <w:p/>
    <w:p>
      <w:r>
        <w:t xml:space="preserve">ARREMATANTE CONTRA DEVEDOR EXECUTADO — VALOR PAGO NA ARREMATAÇÃO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Ainda que compreendendo as ponderáveis razões que ditaram a decisão agravadas..., tenho que não há que se adotar, no caso vertente, os critérios jurisprudenciais que, à falta de norma expressa, norteiam a fixação do valor das causas nas ações possessórias pelo valor do prejuízo ou aplicação analógica do inciso VII do art. 259 do Código de Processo Civil. - Isto porque, o valor da causa com o devido respeito às opiniões em contrário, deve corresponder ao proveito econômico perseguido pelo autor. - É essa, "data venia", a regra básica que se extrai dos diversos incisos do art. 259 e do 260 do Código de Processo Civil. - No caso, em tela, trata-se de ação de imissão na posse, intentada pelo arrematante contra o devedor-executado, pretensão, à evidência, de natureza petitória, baseada no "ius possidendi", sem qualquer conotação possessória. - O proveito econômico perseguido pelo autor identifica-se com o próprio imóvel arrematado, daí porque o valor pago hasta pública deve ser o da ação que visa assegurar a relação de direito material estabelecida, com beneplácito do judiciário. - O valor venal, existente no cadastro imobiliário do município, ficou superado pelo montante apurado na arrematação. - Daí o provimento do agravo para fixar-se o valor da causa... Ac. de 03-09-1985 Arquivo do EMFOR, TA/716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pago na arrematação deve ser o atribuído à ação de imissão na posse, pois este é o que mais se aproxima do proveito econômico perseguido pelo autor.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2026-10-26T01:59:57.830Z</dcterms:created>
  <dcterms:modified xsi:type="dcterms:W3CDTF">2026-10-26T01:59:57.830Z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